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65F9D" w14:textId="486A8274"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0F56B9" w:rsidRPr="000F56B9">
        <w:rPr>
          <w:rFonts w:ascii="Arial" w:eastAsia="SimSun" w:hAnsi="Arial" w:cs="Times New Roman"/>
          <w:b/>
          <w:bCs/>
          <w:sz w:val="24"/>
          <w:szCs w:val="20"/>
          <w:lang w:eastAsia="ja-JP"/>
        </w:rPr>
        <w:t>R4-2304102</w:t>
      </w:r>
    </w:p>
    <w:p w14:paraId="7F5EC706"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72063A34"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3F3C710"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154E7EF" w14:textId="3065D2C2" w:rsidR="00841BCD" w:rsidRPr="000F56B9"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6A0BEB" w:rsidRPr="006A0BEB">
        <w:rPr>
          <w:rFonts w:ascii="Arial" w:eastAsia="Calibri" w:hAnsi="Arial" w:cs="Arial"/>
          <w:b/>
          <w:bCs/>
          <w:sz w:val="24"/>
        </w:rPr>
        <w:t>Demod</w:t>
      </w:r>
      <w:r w:rsidR="006A0BEB">
        <w:rPr>
          <w:rFonts w:ascii="Arial" w:eastAsia="Calibri" w:hAnsi="Arial" w:cs="Arial"/>
          <w:b/>
          <w:bCs/>
          <w:sz w:val="24"/>
        </w:rPr>
        <w:t>ulation</w:t>
      </w:r>
      <w:r w:rsidR="006A0BEB" w:rsidRPr="006A0BEB">
        <w:rPr>
          <w:rFonts w:ascii="Arial" w:eastAsia="Calibri" w:hAnsi="Arial" w:cs="Arial"/>
          <w:b/>
          <w:bCs/>
          <w:sz w:val="24"/>
        </w:rPr>
        <w:t xml:space="preserve"> requirements for non-collocated FR1 intra-band EN-</w:t>
      </w:r>
      <w:r w:rsidR="006A0BEB" w:rsidRPr="000F56B9">
        <w:rPr>
          <w:rFonts w:ascii="Arial" w:eastAsia="Calibri" w:hAnsi="Arial" w:cs="Arial"/>
          <w:b/>
          <w:bCs/>
          <w:sz w:val="24"/>
        </w:rPr>
        <w:t>DC/NR-CA</w:t>
      </w:r>
      <w:r w:rsidR="007C1696" w:rsidRPr="000F56B9">
        <w:rPr>
          <w:rFonts w:ascii="Arial" w:eastAsia="Calibri" w:hAnsi="Arial" w:cs="Arial"/>
          <w:b/>
          <w:bCs/>
          <w:sz w:val="24"/>
        </w:rPr>
        <w:t xml:space="preserve"> </w:t>
      </w:r>
    </w:p>
    <w:p w14:paraId="61529F8D" w14:textId="762ACC45" w:rsidR="00841BCD" w:rsidRPr="00EF698B" w:rsidRDefault="00841BCD" w:rsidP="00841BCD">
      <w:pPr>
        <w:tabs>
          <w:tab w:val="left" w:pos="1985"/>
        </w:tabs>
        <w:spacing w:after="120" w:line="240" w:lineRule="auto"/>
        <w:rPr>
          <w:rFonts w:ascii="Arial" w:eastAsia="MS Mincho" w:hAnsi="Arial" w:cs="Arial"/>
          <w:b/>
          <w:bCs/>
          <w:sz w:val="24"/>
          <w:szCs w:val="20"/>
        </w:rPr>
      </w:pPr>
      <w:r w:rsidRPr="000F56B9">
        <w:rPr>
          <w:rFonts w:ascii="Arial" w:eastAsia="MS Mincho" w:hAnsi="Arial" w:cs="Arial"/>
          <w:b/>
          <w:bCs/>
          <w:sz w:val="24"/>
          <w:szCs w:val="20"/>
        </w:rPr>
        <w:t>Agenda item:</w:t>
      </w:r>
      <w:r w:rsidRPr="000F56B9">
        <w:rPr>
          <w:rFonts w:ascii="Arial" w:eastAsia="MS Mincho" w:hAnsi="Arial" w:cs="Arial"/>
          <w:b/>
          <w:bCs/>
          <w:sz w:val="24"/>
          <w:szCs w:val="20"/>
        </w:rPr>
        <w:tab/>
      </w:r>
      <w:r w:rsidR="00434E42" w:rsidRPr="000F56B9">
        <w:rPr>
          <w:rFonts w:ascii="Arial" w:eastAsia="MS Mincho" w:hAnsi="Arial" w:cs="Arial"/>
          <w:b/>
          <w:bCs/>
          <w:sz w:val="24"/>
          <w:szCs w:val="20"/>
        </w:rPr>
        <w:t>5</w:t>
      </w:r>
      <w:r w:rsidR="006A0BEB" w:rsidRPr="000F56B9">
        <w:rPr>
          <w:rFonts w:ascii="Arial" w:eastAsia="MS Mincho" w:hAnsi="Arial" w:cs="Arial"/>
          <w:b/>
          <w:bCs/>
          <w:sz w:val="24"/>
          <w:szCs w:val="20"/>
        </w:rPr>
        <w:t>.</w:t>
      </w:r>
      <w:r w:rsidR="00434E42" w:rsidRPr="000F56B9">
        <w:rPr>
          <w:rFonts w:ascii="Arial" w:eastAsia="MS Mincho" w:hAnsi="Arial" w:cs="Arial"/>
          <w:b/>
          <w:bCs/>
          <w:sz w:val="24"/>
          <w:szCs w:val="20"/>
        </w:rPr>
        <w:t>12</w:t>
      </w:r>
      <w:r w:rsidR="006A0BEB" w:rsidRPr="000F56B9">
        <w:rPr>
          <w:rFonts w:ascii="Arial" w:eastAsia="MS Mincho" w:hAnsi="Arial" w:cs="Arial"/>
          <w:b/>
          <w:bCs/>
          <w:sz w:val="24"/>
          <w:szCs w:val="20"/>
        </w:rPr>
        <w:t>.</w:t>
      </w:r>
      <w:r w:rsidR="00434E42" w:rsidRPr="000F56B9">
        <w:rPr>
          <w:rFonts w:ascii="Arial" w:eastAsia="MS Mincho" w:hAnsi="Arial" w:cs="Arial"/>
          <w:b/>
          <w:bCs/>
          <w:sz w:val="24"/>
          <w:szCs w:val="20"/>
        </w:rPr>
        <w:t>14</w:t>
      </w:r>
    </w:p>
    <w:p w14:paraId="329520CF" w14:textId="39B7FCA4"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E187B38" w14:textId="77777777" w:rsidR="00E323E9" w:rsidRPr="00EF698B" w:rsidRDefault="00E323E9" w:rsidP="00841BCD">
      <w:pPr>
        <w:tabs>
          <w:tab w:val="left" w:pos="1985"/>
        </w:tabs>
        <w:rPr>
          <w:rFonts w:ascii="Arial" w:eastAsia="Calibri" w:hAnsi="Arial" w:cs="Arial"/>
          <w:b/>
          <w:bCs/>
          <w:sz w:val="24"/>
        </w:rPr>
      </w:pPr>
    </w:p>
    <w:p w14:paraId="2C3BDAE7"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7C9B8A03" w14:textId="52241F3C" w:rsidR="00047F2A" w:rsidRDefault="00AA360D" w:rsidP="00AA360D">
      <w:pPr>
        <w:jc w:val="both"/>
      </w:pPr>
      <w:r>
        <w:t>At RAN#95 meeting, the WI was approved to study the feasibility to support non-co-located scenario for FR1 intra-band non-contiguous EN-DC/NR-CA</w:t>
      </w:r>
      <w:r w:rsidR="00D40277">
        <w:t xml:space="preserve"> </w:t>
      </w:r>
      <w:r w:rsidR="00D40277">
        <w:fldChar w:fldCharType="begin"/>
      </w:r>
      <w:r w:rsidR="00D40277">
        <w:instrText xml:space="preserve"> REF _Ref130994624 \r \h </w:instrText>
      </w:r>
      <w:r w:rsidR="00D40277">
        <w:fldChar w:fldCharType="separate"/>
      </w:r>
      <w:r w:rsidR="00374ABF">
        <w:t>[1]</w:t>
      </w:r>
      <w:r w:rsidR="00D40277">
        <w:fldChar w:fldCharType="end"/>
      </w:r>
      <w:r>
        <w:t xml:space="preserve"> </w:t>
      </w:r>
      <w:r w:rsidR="00047F2A">
        <w:t>with the following objectives of the performance part</w:t>
      </w:r>
      <w:r>
        <w:t xml:space="preserve">. </w:t>
      </w:r>
    </w:p>
    <w:tbl>
      <w:tblPr>
        <w:tblStyle w:val="TableGrid"/>
        <w:tblW w:w="0" w:type="auto"/>
        <w:tblLook w:val="04A0" w:firstRow="1" w:lastRow="0" w:firstColumn="1" w:lastColumn="0" w:noHBand="0" w:noVBand="1"/>
      </w:tblPr>
      <w:tblGrid>
        <w:gridCol w:w="9617"/>
      </w:tblGrid>
      <w:tr w:rsidR="00047F2A" w14:paraId="25C90AE7" w14:textId="77777777" w:rsidTr="00047F2A">
        <w:tc>
          <w:tcPr>
            <w:tcW w:w="9617" w:type="dxa"/>
          </w:tcPr>
          <w:p w14:paraId="5268D68C" w14:textId="77777777" w:rsidR="00047F2A" w:rsidRPr="00ED0935" w:rsidRDefault="00047F2A" w:rsidP="00047F2A">
            <w:pPr>
              <w:widowControl w:val="0"/>
              <w:numPr>
                <w:ilvl w:val="0"/>
                <w:numId w:val="28"/>
              </w:numPr>
              <w:jc w:val="both"/>
              <w:rPr>
                <w:kern w:val="2"/>
                <w:lang w:eastAsia="zh-CN"/>
              </w:rPr>
            </w:pPr>
            <w:r w:rsidRPr="00ED0935">
              <w:rPr>
                <w:kern w:val="2"/>
                <w:lang w:eastAsia="zh-CN"/>
              </w:rPr>
              <w:t xml:space="preserve">Phase II: </w:t>
            </w:r>
          </w:p>
          <w:p w14:paraId="1AFB8E6E" w14:textId="77777777" w:rsidR="00047F2A" w:rsidRPr="00ED0935" w:rsidRDefault="00047F2A" w:rsidP="00047F2A">
            <w:pPr>
              <w:widowControl w:val="0"/>
              <w:numPr>
                <w:ilvl w:val="1"/>
                <w:numId w:val="28"/>
              </w:numPr>
              <w:jc w:val="both"/>
              <w:rPr>
                <w:kern w:val="2"/>
                <w:lang w:eastAsia="zh-CN"/>
              </w:rPr>
            </w:pPr>
            <w:r w:rsidRPr="00ED0935">
              <w:rPr>
                <w:kern w:val="2"/>
                <w:lang w:eastAsia="zh-CN"/>
              </w:rPr>
              <w:t>Phase II work will get started after the feasibility in phase I is confirmed</w:t>
            </w:r>
          </w:p>
          <w:p w14:paraId="3F93D612" w14:textId="77777777" w:rsidR="00047F2A" w:rsidRPr="00ED0935" w:rsidRDefault="00047F2A" w:rsidP="00047F2A">
            <w:pPr>
              <w:widowControl w:val="0"/>
              <w:numPr>
                <w:ilvl w:val="1"/>
                <w:numId w:val="28"/>
              </w:numPr>
              <w:jc w:val="both"/>
              <w:rPr>
                <w:kern w:val="2"/>
                <w:lang w:eastAsia="zh-CN"/>
              </w:rPr>
            </w:pPr>
            <w:r w:rsidRPr="00ED0935">
              <w:rPr>
                <w:kern w:val="2"/>
                <w:lang w:eastAsia="zh-CN"/>
              </w:rPr>
              <w:t>Specify PDSCH demodulation requirements for non-collocated scenarios for intra-band non-contiguous EN-DC and NR-CA</w:t>
            </w:r>
          </w:p>
          <w:p w14:paraId="25884EA7" w14:textId="77777777" w:rsidR="00047F2A" w:rsidRPr="00ED0935" w:rsidRDefault="00047F2A" w:rsidP="00047F2A">
            <w:pPr>
              <w:widowControl w:val="0"/>
              <w:numPr>
                <w:ilvl w:val="2"/>
                <w:numId w:val="28"/>
              </w:numPr>
              <w:jc w:val="both"/>
              <w:rPr>
                <w:kern w:val="2"/>
                <w:lang w:eastAsia="zh-CN"/>
              </w:rPr>
            </w:pPr>
            <w:r w:rsidRPr="00ED0935">
              <w:rPr>
                <w:kern w:val="2"/>
                <w:lang w:eastAsia="zh-CN"/>
              </w:rPr>
              <w:t>Define PDSCH demodulation performance requirement based on the applicable MRTD and power imbalance values.</w:t>
            </w:r>
          </w:p>
          <w:p w14:paraId="04A76B39" w14:textId="5CB2273A" w:rsidR="00047F2A" w:rsidRPr="00047F2A" w:rsidRDefault="00047F2A" w:rsidP="00AA360D">
            <w:pPr>
              <w:widowControl w:val="0"/>
              <w:numPr>
                <w:ilvl w:val="2"/>
                <w:numId w:val="28"/>
              </w:numPr>
              <w:jc w:val="both"/>
              <w:rPr>
                <w:kern w:val="2"/>
                <w:lang w:eastAsia="zh-CN"/>
              </w:rPr>
            </w:pPr>
            <w:r w:rsidRPr="00ED0935">
              <w:rPr>
                <w:kern w:val="2"/>
                <w:lang w:eastAsia="zh-CN"/>
              </w:rPr>
              <w:t>Power imbalance between the carriers is limited</w:t>
            </w:r>
          </w:p>
        </w:tc>
      </w:tr>
    </w:tbl>
    <w:p w14:paraId="0FDD26AF" w14:textId="77777777" w:rsidR="00047F2A" w:rsidRDefault="00047F2A" w:rsidP="00AA360D">
      <w:pPr>
        <w:jc w:val="both"/>
      </w:pPr>
    </w:p>
    <w:p w14:paraId="454CCF09" w14:textId="50EF0081" w:rsidR="00AA360D" w:rsidRDefault="00AA360D" w:rsidP="00AA360D">
      <w:pPr>
        <w:jc w:val="both"/>
      </w:pPr>
      <w:r>
        <w:t xml:space="preserve">In this paper, we </w:t>
      </w:r>
      <w:r w:rsidR="00047F2A">
        <w:t xml:space="preserve">present </w:t>
      </w:r>
      <w:r w:rsidR="00047F2A" w:rsidRPr="00047F2A">
        <w:t>Nokia’s view</w:t>
      </w:r>
      <w:r w:rsidR="00047F2A">
        <w:t xml:space="preserve"> on the</w:t>
      </w:r>
      <w:r>
        <w:t xml:space="preserve"> impact</w:t>
      </w:r>
      <w:r w:rsidR="00F73375">
        <w:t xml:space="preserve"> of </w:t>
      </w:r>
      <w:r w:rsidR="00F73375" w:rsidRPr="00F73375">
        <w:t>non-collocated FR1 intra-band EN-DC/NR-CA</w:t>
      </w:r>
      <w:r w:rsidR="00F73375">
        <w:t xml:space="preserve"> </w:t>
      </w:r>
      <w:r>
        <w:t xml:space="preserve">to </w:t>
      </w:r>
      <w:r w:rsidR="009A5A62">
        <w:t>demod</w:t>
      </w:r>
      <w:r w:rsidR="00CA6496">
        <w:t>ulation</w:t>
      </w:r>
      <w:r w:rsidR="009A5A62">
        <w:t xml:space="preserve"> req</w:t>
      </w:r>
      <w:r>
        <w:t>uirements.</w:t>
      </w:r>
    </w:p>
    <w:p w14:paraId="221A3F95" w14:textId="77777777" w:rsidR="00047F2A" w:rsidRDefault="00047F2A" w:rsidP="00AA360D">
      <w:pPr>
        <w:jc w:val="both"/>
      </w:pPr>
    </w:p>
    <w:p w14:paraId="2B2065FD" w14:textId="7948A7BC" w:rsidR="00AC1A8D" w:rsidRPr="00160CB9" w:rsidRDefault="00033ACE" w:rsidP="00AC1A8D">
      <w:pPr>
        <w:pStyle w:val="RAN4H1"/>
        <w:rPr>
          <w:lang w:val="en-US"/>
        </w:rPr>
      </w:pPr>
      <w:r>
        <w:rPr>
          <w:lang w:val="en-US"/>
        </w:rPr>
        <w:t>Discussion</w:t>
      </w:r>
    </w:p>
    <w:p w14:paraId="0A55CF01" w14:textId="43E585B0" w:rsidR="001F52D5" w:rsidRDefault="00414A40" w:rsidP="004114AB">
      <w:r>
        <w:t>RAN and o</w:t>
      </w:r>
      <w:r w:rsidR="001F52D5" w:rsidRPr="001F52D5">
        <w:t>perators identified the need for UE requirements for non-co</w:t>
      </w:r>
      <w:r w:rsidR="001F52D5">
        <w:t>l</w:t>
      </w:r>
      <w:r w:rsidR="001F52D5" w:rsidRPr="001F52D5">
        <w:t xml:space="preserve">located deployment, as it is essential to enhance the available areas for </w:t>
      </w:r>
      <w:r w:rsidR="00B665ED">
        <w:t xml:space="preserve">intra-band </w:t>
      </w:r>
      <w:r w:rsidR="001F52D5" w:rsidRPr="001F52D5">
        <w:t>EN-DC/NR-CA. Previous specifications only included co</w:t>
      </w:r>
      <w:r w:rsidR="001F52D5">
        <w:t>l</w:t>
      </w:r>
      <w:r w:rsidR="001F52D5" w:rsidRPr="001F52D5">
        <w:t>located requirements for FR1 intra-band</w:t>
      </w:r>
      <w:r w:rsidR="00B665ED">
        <w:t xml:space="preserve"> </w:t>
      </w:r>
      <w:r w:rsidR="001F52D5" w:rsidRPr="001F52D5">
        <w:t>non-contiguous NR-CA until Release 17 limited to two Rx ports per band.</w:t>
      </w:r>
      <w:r w:rsidR="001F52D5">
        <w:t xml:space="preserve"> </w:t>
      </w:r>
    </w:p>
    <w:p w14:paraId="0A7D87AE" w14:textId="7D0690CF" w:rsidR="001F52D5" w:rsidRDefault="001F52D5" w:rsidP="004114AB">
      <w:r>
        <w:t xml:space="preserve">The new WID </w:t>
      </w:r>
      <w:r w:rsidR="00D40277">
        <w:fldChar w:fldCharType="begin"/>
      </w:r>
      <w:r w:rsidR="00D40277">
        <w:instrText xml:space="preserve"> REF _Ref130994624 \r \h </w:instrText>
      </w:r>
      <w:r w:rsidR="00D40277">
        <w:fldChar w:fldCharType="separate"/>
      </w:r>
      <w:r w:rsidR="00374ABF">
        <w:t>[1]</w:t>
      </w:r>
      <w:r w:rsidR="00D40277">
        <w:fldChar w:fldCharType="end"/>
      </w:r>
      <w:r w:rsidR="00D40277">
        <w:t xml:space="preserve"> </w:t>
      </w:r>
      <w:r w:rsidR="004114AB" w:rsidRPr="004114AB">
        <w:t xml:space="preserve">aims to improve the performance and efficiency of carrier aggregation by enabling the interworking between different types of CA configurations. </w:t>
      </w:r>
      <w:r w:rsidR="004114AB" w:rsidRPr="00B11887">
        <w:t xml:space="preserve">Specifically, the feature allows for the interworking between intra-band </w:t>
      </w:r>
      <w:r w:rsidR="00B665ED">
        <w:t>EN-DC</w:t>
      </w:r>
      <w:r w:rsidR="004114AB" w:rsidRPr="00B11887">
        <w:t xml:space="preserve"> and </w:t>
      </w:r>
      <w:r w:rsidR="00B665ED">
        <w:t>NR-</w:t>
      </w:r>
      <w:r w:rsidR="004114AB" w:rsidRPr="00B11887">
        <w:t>CA, which was previously not possible.</w:t>
      </w:r>
    </w:p>
    <w:p w14:paraId="6F160CDE" w14:textId="77777777" w:rsidR="004114AB" w:rsidRDefault="004114AB" w:rsidP="004114AB"/>
    <w:p w14:paraId="2837042F" w14:textId="2716C169" w:rsidR="00CF1059" w:rsidRPr="00081F8D" w:rsidRDefault="00081F8D" w:rsidP="004114AB">
      <w:pPr>
        <w:rPr>
          <w:u w:val="single"/>
        </w:rPr>
      </w:pPr>
      <w:r w:rsidRPr="00081F8D">
        <w:rPr>
          <w:u w:val="single"/>
        </w:rPr>
        <w:t>Difference between co-located and non-collocated DCCA</w:t>
      </w:r>
    </w:p>
    <w:p w14:paraId="250768CB" w14:textId="3C7BB38E" w:rsidR="001F52D5" w:rsidRDefault="004114AB" w:rsidP="004114AB">
      <w:r>
        <w:t xml:space="preserve">The main difference between co-located deployment and non-collocated deployment will be the </w:t>
      </w:r>
      <w:r w:rsidR="00CF1059">
        <w:t>receive time difference and receive power difference</w:t>
      </w:r>
      <w:r>
        <w:t xml:space="preserve"> between the cells. For co-located deployments, the </w:t>
      </w:r>
      <w:r w:rsidR="00CF1059">
        <w:t xml:space="preserve">physical </w:t>
      </w:r>
      <w:r>
        <w:t xml:space="preserve">distance between cells will be close enough that we can </w:t>
      </w:r>
      <w:r w:rsidR="00CF1059">
        <w:t xml:space="preserve">usually </w:t>
      </w:r>
      <w:r>
        <w:t xml:space="preserve">ignore the impact on time difference or side conditions or others that caused by distance. But for non-collocated deployments, the distance </w:t>
      </w:r>
      <w:r w:rsidR="00CF1059">
        <w:t xml:space="preserve">(especially in terms of propagation paths) </w:t>
      </w:r>
      <w:r>
        <w:t xml:space="preserve">between cells should have no limitation and can be located on anywhere within the FR1 cell coverage. Hence, </w:t>
      </w:r>
      <w:r w:rsidR="001F52D5">
        <w:t>this will clearly impact the UE demodulation performance.</w:t>
      </w:r>
    </w:p>
    <w:p w14:paraId="4026E9AA" w14:textId="2E2A2E55" w:rsidR="001F52D5" w:rsidRDefault="001F52D5" w:rsidP="007F05FA">
      <w:pPr>
        <w:pStyle w:val="RAN4proposal"/>
      </w:pPr>
      <w:bookmarkStart w:id="4" w:name="_Ref131471005"/>
      <w:r w:rsidRPr="007F05FA">
        <w:t xml:space="preserve">RAN4 to define </w:t>
      </w:r>
      <w:r w:rsidR="00576002">
        <w:t xml:space="preserve">UE demod </w:t>
      </w:r>
      <w:r w:rsidRPr="007F05FA">
        <w:t xml:space="preserve">requirements </w:t>
      </w:r>
      <w:r w:rsidR="00576002">
        <w:t xml:space="preserve">for non-collocated </w:t>
      </w:r>
      <w:r w:rsidR="00576002" w:rsidRPr="00576002">
        <w:t>intra-band EN-DC and NR-CA</w:t>
      </w:r>
      <w:bookmarkEnd w:id="4"/>
    </w:p>
    <w:p w14:paraId="65F1A0C8" w14:textId="77777777" w:rsidR="00CF1059" w:rsidRDefault="00CF1059" w:rsidP="00CF1059"/>
    <w:p w14:paraId="2A3EF692" w14:textId="28D6989E" w:rsidR="00081F8D" w:rsidRPr="00081F8D" w:rsidRDefault="00081F8D" w:rsidP="00CF1059">
      <w:pPr>
        <w:rPr>
          <w:u w:val="single"/>
        </w:rPr>
      </w:pPr>
      <w:r w:rsidRPr="00081F8D">
        <w:rPr>
          <w:u w:val="single"/>
        </w:rPr>
        <w:t>UE architectures under consideration</w:t>
      </w:r>
    </w:p>
    <w:p w14:paraId="7AD54CDA" w14:textId="79CB6C8A" w:rsidR="001E7D60" w:rsidRDefault="001E7D60" w:rsidP="0063180C">
      <w:r>
        <w:lastRenderedPageBreak/>
        <w:t>In the RF and RRM session, 4 UE types were (and mostly still are) under consideration</w:t>
      </w:r>
      <w:r w:rsidR="00E34B95">
        <w:t xml:space="preserve"> </w:t>
      </w:r>
      <w:r w:rsidR="00E34B95">
        <w:fldChar w:fldCharType="begin"/>
      </w:r>
      <w:r w:rsidR="00E34B95">
        <w:instrText xml:space="preserve"> REF _Ref131711891 \r \h </w:instrText>
      </w:r>
      <w:r w:rsidR="00E34B95">
        <w:fldChar w:fldCharType="separate"/>
      </w:r>
      <w:r w:rsidR="00374ABF">
        <w:t>[2]</w:t>
      </w:r>
      <w:r w:rsidR="00E34B95">
        <w:fldChar w:fldCharType="end"/>
      </w:r>
      <w:r w:rsidR="001076A0">
        <w:t xml:space="preserve"> </w:t>
      </w:r>
      <w:r w:rsidR="001076A0">
        <w:fldChar w:fldCharType="begin"/>
      </w:r>
      <w:r w:rsidR="001076A0">
        <w:instrText xml:space="preserve"> REF _Ref131711978 \r \h </w:instrText>
      </w:r>
      <w:r w:rsidR="001076A0">
        <w:fldChar w:fldCharType="separate"/>
      </w:r>
      <w:r w:rsidR="00374ABF">
        <w:t>[3]</w:t>
      </w:r>
      <w:r w:rsidR="001076A0">
        <w:fldChar w:fldCharType="end"/>
      </w:r>
      <w:r>
        <w:t>:</w:t>
      </w:r>
    </w:p>
    <w:tbl>
      <w:tblPr>
        <w:tblStyle w:val="TableGrid"/>
        <w:tblW w:w="4500" w:type="pct"/>
        <w:jc w:val="center"/>
        <w:tblLook w:val="04A0" w:firstRow="1" w:lastRow="0" w:firstColumn="1" w:lastColumn="0" w:noHBand="0" w:noVBand="1"/>
      </w:tblPr>
      <w:tblGrid>
        <w:gridCol w:w="8937"/>
      </w:tblGrid>
      <w:tr w:rsidR="00E0363C" w14:paraId="2B0EBE89" w14:textId="77777777" w:rsidTr="00C37F53">
        <w:trPr>
          <w:jc w:val="center"/>
        </w:trPr>
        <w:tc>
          <w:tcPr>
            <w:tcW w:w="9617" w:type="dxa"/>
          </w:tcPr>
          <w:p w14:paraId="25D46B90" w14:textId="77777777" w:rsidR="00053BB3" w:rsidRPr="001861FF" w:rsidRDefault="00053BB3" w:rsidP="00053BB3">
            <w:pPr>
              <w:pStyle w:val="ListParagraph"/>
              <w:numPr>
                <w:ilvl w:val="0"/>
                <w:numId w:val="29"/>
              </w:numPr>
              <w:overflowPunct w:val="0"/>
              <w:autoSpaceDE w:val="0"/>
              <w:autoSpaceDN w:val="0"/>
              <w:adjustRightInd w:val="0"/>
              <w:spacing w:after="180"/>
              <w:contextualSpacing w:val="0"/>
              <w:textAlignment w:val="baseline"/>
              <w:rPr>
                <w:lang w:eastAsia="zh-CN"/>
              </w:rPr>
            </w:pPr>
            <w:r w:rsidRPr="001861FF">
              <w:rPr>
                <w:rFonts w:eastAsia="Yu Mincho"/>
                <w:lang w:eastAsia="ja-JP"/>
              </w:rPr>
              <w:t>Prioritize Type 3a/3b discussion for 4MIMO layer in Rel-18.</w:t>
            </w:r>
          </w:p>
          <w:p w14:paraId="30F037D9" w14:textId="15E3C25B" w:rsidR="00053BB3" w:rsidRDefault="00053BB3" w:rsidP="00387FDA">
            <w:r>
              <w:t xml:space="preserve"> </w:t>
            </w:r>
          </w:p>
          <w:tbl>
            <w:tblPr>
              <w:tblW w:w="4500" w:type="pct"/>
              <w:jc w:val="center"/>
              <w:tblLook w:val="04A0" w:firstRow="1" w:lastRow="0" w:firstColumn="1" w:lastColumn="0" w:noHBand="0" w:noVBand="1"/>
            </w:tblPr>
            <w:tblGrid>
              <w:gridCol w:w="498"/>
              <w:gridCol w:w="528"/>
              <w:gridCol w:w="395"/>
              <w:gridCol w:w="483"/>
              <w:gridCol w:w="604"/>
              <w:gridCol w:w="622"/>
              <w:gridCol w:w="429"/>
              <w:gridCol w:w="850"/>
              <w:gridCol w:w="929"/>
              <w:gridCol w:w="1237"/>
              <w:gridCol w:w="2136"/>
            </w:tblGrid>
            <w:tr w:rsidR="00C37F53" w:rsidRPr="00E55EC0" w14:paraId="218A90C2" w14:textId="77777777" w:rsidTr="00C37F53">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653C1A5C" w14:textId="77777777" w:rsidR="00C37F53" w:rsidRPr="00E55EC0" w:rsidRDefault="00C37F53" w:rsidP="00C37F53">
                  <w:pPr>
                    <w:spacing w:after="0"/>
                    <w:rPr>
                      <w:rFonts w:ascii="Calibri" w:hAnsi="Calibri" w:cs="Calibri"/>
                      <w:b/>
                      <w:bCs/>
                      <w:color w:val="000000"/>
                      <w:sz w:val="14"/>
                      <w:szCs w:val="18"/>
                    </w:rPr>
                  </w:pPr>
                  <w:bookmarkStart w:id="5" w:name="_Hlk116987019"/>
                  <w:r w:rsidRPr="00E55EC0">
                    <w:rPr>
                      <w:rFonts w:ascii="Calibri" w:hAnsi="Calibri" w:cs="Calibri"/>
                      <w:b/>
                      <w:bCs/>
                      <w:color w:val="000000"/>
                      <w:sz w:val="14"/>
                      <w:szCs w:val="18"/>
                    </w:rPr>
                    <w:t>UE</w:t>
                  </w:r>
                </w:p>
                <w:p w14:paraId="4DCC15DC" w14:textId="77777777" w:rsidR="00C37F53" w:rsidRPr="00E55EC0" w:rsidRDefault="00C37F53" w:rsidP="00C37F53">
                  <w:pPr>
                    <w:spacing w:after="0"/>
                    <w:rPr>
                      <w:rFonts w:ascii="Calibri" w:hAnsi="Calibri" w:cs="Calibri"/>
                      <w:b/>
                      <w:bCs/>
                      <w:color w:val="000000"/>
                      <w:sz w:val="14"/>
                      <w:szCs w:val="18"/>
                    </w:rPr>
                  </w:pPr>
                  <w:r w:rsidRPr="00E55EC0">
                    <w:rPr>
                      <w:rFonts w:ascii="Calibri" w:hAnsi="Calibri" w:cs="Calibri"/>
                      <w:b/>
                      <w:bCs/>
                      <w:color w:val="000000"/>
                      <w:sz w:val="14"/>
                      <w:szCs w:val="18"/>
                    </w:rPr>
                    <w:t>Type</w:t>
                  </w:r>
                </w:p>
              </w:tc>
              <w:tc>
                <w:tcPr>
                  <w:tcW w:w="528" w:type="dxa"/>
                  <w:tcBorders>
                    <w:top w:val="single" w:sz="4" w:space="0" w:color="auto"/>
                    <w:left w:val="nil"/>
                    <w:bottom w:val="single" w:sz="4" w:space="0" w:color="auto"/>
                    <w:right w:val="single" w:sz="4" w:space="0" w:color="auto"/>
                  </w:tcBorders>
                  <w:shd w:val="clear" w:color="auto" w:fill="DEEAF6"/>
                  <w:noWrap/>
                  <w:vAlign w:val="bottom"/>
                </w:tcPr>
                <w:p w14:paraId="296F7BFB" w14:textId="77777777" w:rsidR="00C37F53" w:rsidRPr="00E55EC0" w:rsidRDefault="00C37F53" w:rsidP="00C37F53">
                  <w:pPr>
                    <w:spacing w:after="0"/>
                    <w:rPr>
                      <w:rFonts w:ascii="Calibri" w:hAnsi="Calibri" w:cs="Calibri"/>
                      <w:b/>
                      <w:color w:val="000000"/>
                      <w:sz w:val="14"/>
                      <w:szCs w:val="18"/>
                    </w:rPr>
                  </w:pPr>
                </w:p>
                <w:p w14:paraId="34F4049B" w14:textId="77777777" w:rsidR="00C37F53" w:rsidRPr="00E55EC0" w:rsidRDefault="00C37F53" w:rsidP="00C37F53">
                  <w:pPr>
                    <w:spacing w:after="0"/>
                    <w:rPr>
                      <w:rFonts w:ascii="Calibri" w:hAnsi="Calibri" w:cs="Calibri"/>
                      <w:b/>
                      <w:color w:val="000000"/>
                      <w:sz w:val="14"/>
                      <w:szCs w:val="18"/>
                    </w:rPr>
                  </w:pPr>
                  <w:r w:rsidRPr="00E55EC0">
                    <w:rPr>
                      <w:rFonts w:ascii="Calibri" w:hAnsi="Calibri" w:cs="Calibri"/>
                      <w:b/>
                      <w:color w:val="000000"/>
                      <w:sz w:val="14"/>
                      <w:szCs w:val="18"/>
                    </w:rPr>
                    <w:t>CC#</w:t>
                  </w:r>
                </w:p>
              </w:tc>
              <w:tc>
                <w:tcPr>
                  <w:tcW w:w="878" w:type="dxa"/>
                  <w:gridSpan w:val="2"/>
                  <w:tcBorders>
                    <w:top w:val="single" w:sz="4" w:space="0" w:color="auto"/>
                    <w:left w:val="nil"/>
                    <w:bottom w:val="single" w:sz="4" w:space="0" w:color="auto"/>
                    <w:right w:val="single" w:sz="4" w:space="0" w:color="auto"/>
                  </w:tcBorders>
                  <w:shd w:val="clear" w:color="auto" w:fill="DEEAF6"/>
                  <w:vAlign w:val="bottom"/>
                </w:tcPr>
                <w:p w14:paraId="10617F89" w14:textId="77777777" w:rsidR="00C37F53" w:rsidRPr="00E55EC0" w:rsidRDefault="00C37F53" w:rsidP="00C37F53">
                  <w:pPr>
                    <w:spacing w:after="0"/>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07665A5A" w14:textId="77777777" w:rsidR="00C37F53" w:rsidRPr="00E55EC0" w:rsidRDefault="00C37F53" w:rsidP="00C37F53">
                  <w:pPr>
                    <w:spacing w:after="0"/>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7CA4EF48" w14:textId="77777777" w:rsidR="00C37F53" w:rsidRPr="00E55EC0" w:rsidRDefault="00C37F53" w:rsidP="00C37F53">
                  <w:pPr>
                    <w:spacing w:after="0"/>
                    <w:jc w:val="center"/>
                    <w:rPr>
                      <w:rFonts w:ascii="Calibri" w:hAnsi="Calibri" w:cs="Calibri"/>
                      <w:b/>
                      <w:color w:val="000000"/>
                      <w:sz w:val="14"/>
                      <w:szCs w:val="18"/>
                    </w:rPr>
                  </w:pPr>
                  <w:r w:rsidRPr="00E55EC0">
                    <w:rPr>
                      <w:rFonts w:ascii="Calibri" w:hAnsi="Calibri" w:cs="Calibri"/>
                      <w:b/>
                      <w:color w:val="000000"/>
                      <w:sz w:val="14"/>
                      <w:szCs w:val="18"/>
                    </w:rPr>
                    <w:t>Analog</w:t>
                  </w:r>
                </w:p>
                <w:p w14:paraId="5E7C8D06" w14:textId="77777777" w:rsidR="00C37F53" w:rsidRPr="00E55EC0" w:rsidRDefault="00C37F53" w:rsidP="00C37F53">
                  <w:pPr>
                    <w:spacing w:after="0"/>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6B3B005C" w14:textId="77777777" w:rsidR="00C37F53" w:rsidRPr="00E55EC0" w:rsidRDefault="00C37F53" w:rsidP="00C37F53">
                  <w:pPr>
                    <w:spacing w:after="0"/>
                    <w:jc w:val="center"/>
                    <w:rPr>
                      <w:rFonts w:ascii="Calibri" w:hAnsi="Calibri" w:cs="Calibri"/>
                      <w:b/>
                      <w:color w:val="000000"/>
                      <w:sz w:val="14"/>
                      <w:szCs w:val="18"/>
                    </w:rPr>
                  </w:pPr>
                  <w:r w:rsidRPr="00E55EC0">
                    <w:rPr>
                      <w:rFonts w:ascii="Calibri" w:hAnsi="Calibri" w:cs="Calibri"/>
                      <w:b/>
                      <w:color w:val="000000"/>
                      <w:sz w:val="14"/>
                      <w:szCs w:val="18"/>
                    </w:rPr>
                    <w:t>#Rx</w:t>
                  </w:r>
                </w:p>
              </w:tc>
              <w:tc>
                <w:tcPr>
                  <w:tcW w:w="850" w:type="dxa"/>
                  <w:tcBorders>
                    <w:top w:val="single" w:sz="4" w:space="0" w:color="auto"/>
                    <w:left w:val="nil"/>
                    <w:bottom w:val="single" w:sz="4" w:space="0" w:color="auto"/>
                    <w:right w:val="single" w:sz="4" w:space="0" w:color="auto"/>
                  </w:tcBorders>
                  <w:shd w:val="clear" w:color="auto" w:fill="DEEAF6"/>
                  <w:vAlign w:val="bottom"/>
                </w:tcPr>
                <w:p w14:paraId="5189B9D0" w14:textId="77777777" w:rsidR="00C37F53" w:rsidRPr="00E55EC0" w:rsidRDefault="00C37F53" w:rsidP="00C37F53">
                  <w:pPr>
                    <w:spacing w:after="0"/>
                    <w:rPr>
                      <w:rFonts w:ascii="Calibri" w:hAnsi="Calibri" w:cs="Calibri"/>
                      <w:b/>
                      <w:color w:val="000000"/>
                      <w:sz w:val="14"/>
                      <w:szCs w:val="18"/>
                    </w:rPr>
                  </w:pPr>
                  <w:r w:rsidRPr="00E55EC0">
                    <w:rPr>
                      <w:rFonts w:ascii="Calibri" w:hAnsi="Calibri" w:cs="Calibri"/>
                      <w:b/>
                      <w:color w:val="000000"/>
                      <w:sz w:val="14"/>
                      <w:szCs w:val="18"/>
                    </w:rPr>
                    <w:t>Frequency</w:t>
                  </w:r>
                </w:p>
                <w:p w14:paraId="2BAA4C16" w14:textId="77777777" w:rsidR="00C37F53" w:rsidRPr="00E55EC0" w:rsidRDefault="00C37F53" w:rsidP="00C37F53">
                  <w:pPr>
                    <w:spacing w:after="0"/>
                    <w:rPr>
                      <w:rFonts w:ascii="Calibri" w:hAnsi="Calibri" w:cs="Calibri"/>
                      <w:b/>
                      <w:color w:val="000000"/>
                      <w:sz w:val="14"/>
                      <w:szCs w:val="18"/>
                    </w:rPr>
                  </w:pPr>
                  <w:r w:rsidRPr="00E55EC0">
                    <w:rPr>
                      <w:rFonts w:ascii="Calibri" w:hAnsi="Calibri" w:cs="Calibri"/>
                      <w:b/>
                      <w:color w:val="000000"/>
                      <w:sz w:val="14"/>
                      <w:szCs w:val="18"/>
                    </w:rPr>
                    <w:t>Separation</w:t>
                  </w:r>
                </w:p>
                <w:p w14:paraId="3F35B492" w14:textId="77777777" w:rsidR="00C37F53" w:rsidRPr="00E55EC0" w:rsidRDefault="00C37F53" w:rsidP="00C37F53">
                  <w:pPr>
                    <w:spacing w:after="0"/>
                    <w:rPr>
                      <w:rFonts w:ascii="Calibri" w:hAnsi="Calibri" w:cs="Calibri"/>
                      <w:b/>
                      <w:color w:val="000000"/>
                      <w:sz w:val="14"/>
                      <w:szCs w:val="18"/>
                    </w:rPr>
                  </w:pPr>
                  <w:r w:rsidRPr="00E55EC0">
                    <w:rPr>
                      <w:rFonts w:ascii="Calibri" w:hAnsi="Calibri" w:cs="Calibri"/>
                      <w:b/>
                      <w:color w:val="000000"/>
                      <w:sz w:val="14"/>
                      <w:szCs w:val="18"/>
                    </w:rPr>
                    <w:t>between 2cc</w:t>
                  </w:r>
                </w:p>
              </w:tc>
              <w:tc>
                <w:tcPr>
                  <w:tcW w:w="929" w:type="dxa"/>
                  <w:tcBorders>
                    <w:top w:val="single" w:sz="4" w:space="0" w:color="auto"/>
                    <w:left w:val="single" w:sz="4" w:space="0" w:color="auto"/>
                    <w:bottom w:val="single" w:sz="4" w:space="0" w:color="auto"/>
                    <w:right w:val="single" w:sz="4" w:space="0" w:color="auto"/>
                  </w:tcBorders>
                  <w:shd w:val="clear" w:color="auto" w:fill="DEEAF6"/>
                </w:tcPr>
                <w:p w14:paraId="0A5D10F2" w14:textId="77777777" w:rsidR="00C37F53" w:rsidRPr="00E55EC0" w:rsidRDefault="00C37F53" w:rsidP="00C37F53">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1237" w:type="dxa"/>
                  <w:tcBorders>
                    <w:top w:val="single" w:sz="4" w:space="0" w:color="auto"/>
                    <w:left w:val="single" w:sz="4" w:space="0" w:color="auto"/>
                    <w:bottom w:val="single" w:sz="4" w:space="0" w:color="auto"/>
                    <w:right w:val="single" w:sz="4" w:space="0" w:color="auto"/>
                  </w:tcBorders>
                  <w:shd w:val="clear" w:color="auto" w:fill="DEEAF6"/>
                  <w:vAlign w:val="bottom"/>
                </w:tcPr>
                <w:p w14:paraId="2F5FC777" w14:textId="77777777" w:rsidR="00C37F53" w:rsidRPr="00E55EC0" w:rsidRDefault="00C37F53" w:rsidP="00C37F53">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0873F8E0" w14:textId="77777777" w:rsidR="00C37F53" w:rsidRPr="00E55EC0" w:rsidRDefault="00C37F53" w:rsidP="00C37F53">
                  <w:pPr>
                    <w:spacing w:after="0"/>
                    <w:rPr>
                      <w:rFonts w:ascii="Calibri" w:hAnsi="Calibri" w:cs="Calibri"/>
                      <w:b/>
                      <w:color w:val="000000"/>
                      <w:sz w:val="14"/>
                      <w:szCs w:val="18"/>
                    </w:rPr>
                  </w:pPr>
                  <w:r w:rsidRPr="00E55EC0">
                    <w:rPr>
                      <w:rFonts w:ascii="Calibri" w:hAnsi="Calibri" w:cs="Calibri"/>
                      <w:b/>
                      <w:color w:val="000000"/>
                      <w:sz w:val="14"/>
                      <w:szCs w:val="18"/>
                    </w:rPr>
                    <w:t>imbalance</w:t>
                  </w:r>
                </w:p>
              </w:tc>
              <w:tc>
                <w:tcPr>
                  <w:tcW w:w="2136" w:type="dxa"/>
                  <w:tcBorders>
                    <w:top w:val="single" w:sz="4" w:space="0" w:color="auto"/>
                    <w:left w:val="nil"/>
                    <w:bottom w:val="single" w:sz="4" w:space="0" w:color="auto"/>
                    <w:right w:val="single" w:sz="4" w:space="0" w:color="auto"/>
                  </w:tcBorders>
                  <w:shd w:val="clear" w:color="auto" w:fill="DEEAF6"/>
                  <w:noWrap/>
                  <w:vAlign w:val="bottom"/>
                </w:tcPr>
                <w:p w14:paraId="641F5847" w14:textId="77777777" w:rsidR="00C37F53" w:rsidRPr="00E55EC0" w:rsidRDefault="00C37F53" w:rsidP="00C37F53">
                  <w:pPr>
                    <w:spacing w:after="0"/>
                    <w:rPr>
                      <w:rFonts w:ascii="Calibri" w:hAnsi="Calibri" w:cs="Calibri"/>
                      <w:b/>
                      <w:color w:val="000000"/>
                      <w:sz w:val="14"/>
                      <w:szCs w:val="18"/>
                    </w:rPr>
                  </w:pPr>
                  <w:r w:rsidRPr="00E55EC0">
                    <w:rPr>
                      <w:rFonts w:ascii="Calibri" w:hAnsi="Calibri" w:cs="Calibri"/>
                      <w:b/>
                      <w:color w:val="000000"/>
                      <w:sz w:val="14"/>
                      <w:szCs w:val="18"/>
                    </w:rPr>
                    <w:t>comment</w:t>
                  </w:r>
                </w:p>
              </w:tc>
            </w:tr>
            <w:tr w:rsidR="00C37F53" w:rsidRPr="00E55EC0" w14:paraId="1FD2369E" w14:textId="77777777" w:rsidTr="00C37F53">
              <w:trPr>
                <w:trHeight w:val="70"/>
                <w:jc w:val="center"/>
              </w:trPr>
              <w:tc>
                <w:tcPr>
                  <w:tcW w:w="498" w:type="dxa"/>
                  <w:vMerge w:val="restart"/>
                  <w:tcBorders>
                    <w:top w:val="nil"/>
                    <w:left w:val="single" w:sz="4" w:space="0" w:color="auto"/>
                    <w:right w:val="single" w:sz="4" w:space="0" w:color="auto"/>
                  </w:tcBorders>
                  <w:shd w:val="clear" w:color="auto" w:fill="BFBFBF"/>
                </w:tcPr>
                <w:p w14:paraId="5BE02AB5" w14:textId="77777777" w:rsidR="00C37F53" w:rsidRPr="00E55EC0" w:rsidRDefault="00C37F53" w:rsidP="00C37F5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28" w:type="dxa"/>
                  <w:tcBorders>
                    <w:top w:val="nil"/>
                    <w:left w:val="nil"/>
                    <w:bottom w:val="single" w:sz="4" w:space="0" w:color="auto"/>
                    <w:right w:val="single" w:sz="4" w:space="0" w:color="auto"/>
                  </w:tcBorders>
                  <w:shd w:val="clear" w:color="auto" w:fill="BFBFBF"/>
                  <w:noWrap/>
                  <w:vAlign w:val="bottom"/>
                </w:tcPr>
                <w:p w14:paraId="41D33F7D"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78"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6037812A"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4C631188"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0FA4701E"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326DDCFB"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val="restart"/>
                  <w:tcBorders>
                    <w:top w:val="nil"/>
                    <w:left w:val="single" w:sz="4" w:space="0" w:color="auto"/>
                    <w:right w:val="single" w:sz="4" w:space="0" w:color="auto"/>
                  </w:tcBorders>
                  <w:shd w:val="clear" w:color="auto" w:fill="BFBFBF"/>
                  <w:vAlign w:val="bottom"/>
                </w:tcPr>
                <w:p w14:paraId="3BC357DC" w14:textId="77777777" w:rsidR="00C37F53" w:rsidRPr="00E55EC0" w:rsidRDefault="00C37F53" w:rsidP="00C37F53">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929" w:type="dxa"/>
                  <w:vMerge w:val="restart"/>
                  <w:tcBorders>
                    <w:top w:val="nil"/>
                    <w:left w:val="single" w:sz="4" w:space="0" w:color="auto"/>
                    <w:right w:val="single" w:sz="4" w:space="0" w:color="auto"/>
                  </w:tcBorders>
                  <w:shd w:val="clear" w:color="auto" w:fill="BFBFBF"/>
                </w:tcPr>
                <w:p w14:paraId="500E621F" w14:textId="77777777" w:rsidR="00C37F53" w:rsidRPr="00E55EC0" w:rsidRDefault="00C37F53" w:rsidP="00C37F53">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1237" w:type="dxa"/>
                  <w:vMerge w:val="restart"/>
                  <w:tcBorders>
                    <w:top w:val="nil"/>
                    <w:left w:val="single" w:sz="4" w:space="0" w:color="auto"/>
                    <w:bottom w:val="single" w:sz="4" w:space="0" w:color="auto"/>
                    <w:right w:val="single" w:sz="4" w:space="0" w:color="auto"/>
                  </w:tcBorders>
                  <w:shd w:val="clear" w:color="auto" w:fill="BFBFBF"/>
                  <w:noWrap/>
                  <w:vAlign w:val="bottom"/>
                </w:tcPr>
                <w:p w14:paraId="52D718E0"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2136" w:type="dxa"/>
                  <w:vMerge w:val="restart"/>
                  <w:tcBorders>
                    <w:top w:val="nil"/>
                    <w:left w:val="single" w:sz="4" w:space="0" w:color="auto"/>
                    <w:bottom w:val="single" w:sz="4" w:space="0" w:color="auto"/>
                    <w:right w:val="single" w:sz="4" w:space="0" w:color="auto"/>
                  </w:tcBorders>
                  <w:shd w:val="clear" w:color="auto" w:fill="BFBFBF"/>
                  <w:vAlign w:val="bottom"/>
                </w:tcPr>
                <w:p w14:paraId="20E22C82" w14:textId="77777777" w:rsidR="00C37F53" w:rsidRPr="00E55EC0" w:rsidRDefault="00C37F53" w:rsidP="00C37F53">
                  <w:pPr>
                    <w:spacing w:after="0"/>
                    <w:rPr>
                      <w:rFonts w:ascii="Calibri" w:hAnsi="Calibri" w:cs="Calibri"/>
                      <w:color w:val="000000"/>
                      <w:sz w:val="14"/>
                      <w:szCs w:val="18"/>
                    </w:rPr>
                  </w:pPr>
                  <w:r w:rsidRPr="00E55EC0">
                    <w:rPr>
                      <w:rFonts w:ascii="Calibri" w:hAnsi="Calibri" w:cs="Calibri"/>
                      <w:color w:val="000000"/>
                      <w:sz w:val="14"/>
                      <w:szCs w:val="18"/>
                    </w:rPr>
                    <w:t>Baseline architecture (i.e. legacy architecture)</w:t>
                  </w:r>
                </w:p>
              </w:tc>
            </w:tr>
            <w:tr w:rsidR="00C37F53" w:rsidRPr="00E55EC0" w14:paraId="26205CD0" w14:textId="77777777" w:rsidTr="00C37F53">
              <w:trPr>
                <w:trHeight w:val="70"/>
                <w:jc w:val="center"/>
              </w:trPr>
              <w:tc>
                <w:tcPr>
                  <w:tcW w:w="498" w:type="dxa"/>
                  <w:vMerge/>
                  <w:tcBorders>
                    <w:left w:val="single" w:sz="4" w:space="0" w:color="auto"/>
                    <w:bottom w:val="single" w:sz="4" w:space="0" w:color="auto"/>
                    <w:right w:val="single" w:sz="4" w:space="0" w:color="auto"/>
                  </w:tcBorders>
                  <w:shd w:val="clear" w:color="auto" w:fill="BFBFBF"/>
                </w:tcPr>
                <w:p w14:paraId="5E861880" w14:textId="77777777" w:rsidR="00C37F53" w:rsidRPr="00E55EC0" w:rsidRDefault="00C37F53" w:rsidP="00C37F53">
                  <w:pPr>
                    <w:spacing w:after="0"/>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BFBFBF"/>
                  <w:noWrap/>
                  <w:vAlign w:val="bottom"/>
                </w:tcPr>
                <w:p w14:paraId="5966BCD1"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78" w:type="dxa"/>
                  <w:gridSpan w:val="2"/>
                  <w:vMerge/>
                  <w:tcBorders>
                    <w:top w:val="nil"/>
                    <w:left w:val="single" w:sz="4" w:space="0" w:color="auto"/>
                    <w:bottom w:val="single" w:sz="4" w:space="0" w:color="auto"/>
                    <w:right w:val="single" w:sz="4" w:space="0" w:color="auto"/>
                  </w:tcBorders>
                  <w:shd w:val="clear" w:color="auto" w:fill="BFBFBF"/>
                  <w:vAlign w:val="center"/>
                </w:tcPr>
                <w:p w14:paraId="5566815B" w14:textId="77777777" w:rsidR="00C37F53" w:rsidRPr="00E55EC0" w:rsidRDefault="00C37F53" w:rsidP="00C37F53">
                  <w:pPr>
                    <w:spacing w:after="0"/>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587D5B52" w14:textId="77777777" w:rsidR="00C37F53" w:rsidRPr="00E55EC0" w:rsidRDefault="00C37F53" w:rsidP="00C37F53">
                  <w:pPr>
                    <w:spacing w:after="0"/>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5C253BC5" w14:textId="77777777" w:rsidR="00C37F53" w:rsidRPr="00E55EC0" w:rsidRDefault="00C37F53" w:rsidP="00C37F53">
                  <w:pPr>
                    <w:spacing w:after="0"/>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1B72CC63"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tcBorders>
                    <w:left w:val="single" w:sz="4" w:space="0" w:color="auto"/>
                    <w:bottom w:val="single" w:sz="4" w:space="0" w:color="auto"/>
                    <w:right w:val="single" w:sz="4" w:space="0" w:color="auto"/>
                  </w:tcBorders>
                  <w:shd w:val="clear" w:color="auto" w:fill="BFBFBF"/>
                  <w:vAlign w:val="center"/>
                </w:tcPr>
                <w:p w14:paraId="1E17A0F3" w14:textId="77777777" w:rsidR="00C37F53" w:rsidRPr="00E55EC0" w:rsidRDefault="00C37F53" w:rsidP="00C37F53">
                  <w:pPr>
                    <w:spacing w:after="0"/>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shd w:val="clear" w:color="auto" w:fill="BFBFBF"/>
                </w:tcPr>
                <w:p w14:paraId="0B86397C" w14:textId="77777777" w:rsidR="00C37F53" w:rsidRPr="00E55EC0" w:rsidRDefault="00C37F53" w:rsidP="00C37F53">
                  <w:pPr>
                    <w:spacing w:after="0"/>
                    <w:rPr>
                      <w:rFonts w:ascii="Calibri" w:eastAsia="Yu Mincho" w:hAnsi="Calibri" w:cs="Calibri"/>
                      <w:color w:val="000000"/>
                      <w:sz w:val="14"/>
                      <w:szCs w:val="18"/>
                      <w:lang w:eastAsia="ja-JP"/>
                    </w:rPr>
                  </w:pPr>
                </w:p>
              </w:tc>
              <w:tc>
                <w:tcPr>
                  <w:tcW w:w="1237" w:type="dxa"/>
                  <w:vMerge/>
                  <w:tcBorders>
                    <w:top w:val="nil"/>
                    <w:left w:val="single" w:sz="4" w:space="0" w:color="auto"/>
                    <w:bottom w:val="single" w:sz="4" w:space="0" w:color="auto"/>
                    <w:right w:val="single" w:sz="4" w:space="0" w:color="auto"/>
                  </w:tcBorders>
                  <w:shd w:val="clear" w:color="auto" w:fill="BFBFBF"/>
                  <w:vAlign w:val="center"/>
                </w:tcPr>
                <w:p w14:paraId="37580E28" w14:textId="77777777" w:rsidR="00C37F53" w:rsidRPr="00E55EC0" w:rsidRDefault="00C37F53" w:rsidP="00C37F53">
                  <w:pPr>
                    <w:spacing w:after="0"/>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shd w:val="clear" w:color="auto" w:fill="BFBFBF"/>
                  <w:vAlign w:val="center"/>
                </w:tcPr>
                <w:p w14:paraId="4823F2A4" w14:textId="77777777" w:rsidR="00C37F53" w:rsidRPr="00E55EC0" w:rsidRDefault="00C37F53" w:rsidP="00C37F53">
                  <w:pPr>
                    <w:spacing w:after="0"/>
                    <w:rPr>
                      <w:rFonts w:ascii="Calibri" w:hAnsi="Calibri" w:cs="Calibri"/>
                      <w:color w:val="000000"/>
                      <w:sz w:val="14"/>
                      <w:szCs w:val="18"/>
                    </w:rPr>
                  </w:pPr>
                </w:p>
              </w:tc>
            </w:tr>
            <w:tr w:rsidR="00C37F53" w:rsidRPr="00E55EC0" w14:paraId="442DBBCA" w14:textId="77777777" w:rsidTr="00C37F53">
              <w:trPr>
                <w:trHeight w:val="70"/>
                <w:jc w:val="center"/>
              </w:trPr>
              <w:tc>
                <w:tcPr>
                  <w:tcW w:w="498" w:type="dxa"/>
                  <w:vMerge w:val="restart"/>
                  <w:tcBorders>
                    <w:top w:val="nil"/>
                    <w:left w:val="single" w:sz="4" w:space="0" w:color="auto"/>
                    <w:right w:val="single" w:sz="4" w:space="0" w:color="auto"/>
                  </w:tcBorders>
                  <w:shd w:val="clear" w:color="auto" w:fill="BFBFBF"/>
                </w:tcPr>
                <w:p w14:paraId="42956C3B" w14:textId="77777777" w:rsidR="00C37F53" w:rsidRPr="00E55EC0" w:rsidRDefault="00C37F53" w:rsidP="00C37F5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28" w:type="dxa"/>
                  <w:tcBorders>
                    <w:top w:val="nil"/>
                    <w:left w:val="nil"/>
                    <w:bottom w:val="single" w:sz="4" w:space="0" w:color="auto"/>
                    <w:right w:val="single" w:sz="4" w:space="0" w:color="auto"/>
                  </w:tcBorders>
                  <w:shd w:val="clear" w:color="auto" w:fill="BFBFBF"/>
                  <w:noWrap/>
                  <w:vAlign w:val="bottom"/>
                </w:tcPr>
                <w:p w14:paraId="7965F703"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395" w:type="dxa"/>
                  <w:tcBorders>
                    <w:top w:val="nil"/>
                    <w:left w:val="nil"/>
                    <w:bottom w:val="single" w:sz="4" w:space="0" w:color="auto"/>
                    <w:right w:val="single" w:sz="4" w:space="0" w:color="auto"/>
                  </w:tcBorders>
                  <w:shd w:val="clear" w:color="auto" w:fill="BFBFBF"/>
                  <w:noWrap/>
                  <w:vAlign w:val="bottom"/>
                </w:tcPr>
                <w:p w14:paraId="57C2174A"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4C044C9F" w14:textId="77777777" w:rsidR="00C37F53" w:rsidRPr="00E55EC0" w:rsidRDefault="00C37F53" w:rsidP="00C37F53">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5BFC4853" w14:textId="77777777" w:rsidR="00C37F53" w:rsidRPr="00E55EC0" w:rsidRDefault="00C37F53" w:rsidP="00C37F53">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786F8CD0"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6A7A00A5"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6577A829"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850" w:type="dxa"/>
                  <w:vMerge w:val="restart"/>
                  <w:tcBorders>
                    <w:top w:val="nil"/>
                    <w:left w:val="single" w:sz="4" w:space="0" w:color="auto"/>
                    <w:right w:val="single" w:sz="4" w:space="0" w:color="auto"/>
                  </w:tcBorders>
                  <w:shd w:val="clear" w:color="auto" w:fill="BFBFBF"/>
                  <w:vAlign w:val="bottom"/>
                </w:tcPr>
                <w:p w14:paraId="3A7B0E27"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929" w:type="dxa"/>
                  <w:vMerge w:val="restart"/>
                  <w:tcBorders>
                    <w:top w:val="nil"/>
                    <w:left w:val="single" w:sz="4" w:space="0" w:color="auto"/>
                    <w:right w:val="single" w:sz="4" w:space="0" w:color="auto"/>
                  </w:tcBorders>
                  <w:shd w:val="clear" w:color="auto" w:fill="BFBFBF"/>
                </w:tcPr>
                <w:p w14:paraId="1DDABF2B" w14:textId="77777777" w:rsidR="00C37F53" w:rsidRPr="00E55EC0" w:rsidRDefault="00C37F53" w:rsidP="00C37F53">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1237" w:type="dxa"/>
                  <w:vMerge w:val="restart"/>
                  <w:tcBorders>
                    <w:top w:val="nil"/>
                    <w:left w:val="single" w:sz="4" w:space="0" w:color="auto"/>
                    <w:bottom w:val="single" w:sz="4" w:space="0" w:color="auto"/>
                    <w:right w:val="single" w:sz="4" w:space="0" w:color="auto"/>
                  </w:tcBorders>
                  <w:shd w:val="clear" w:color="auto" w:fill="BFBFBF"/>
                  <w:noWrap/>
                  <w:vAlign w:val="bottom"/>
                </w:tcPr>
                <w:p w14:paraId="6BE495A8"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2136" w:type="dxa"/>
                  <w:vMerge w:val="restart"/>
                  <w:tcBorders>
                    <w:top w:val="nil"/>
                    <w:left w:val="single" w:sz="4" w:space="0" w:color="auto"/>
                    <w:bottom w:val="single" w:sz="4" w:space="0" w:color="auto"/>
                    <w:right w:val="single" w:sz="4" w:space="0" w:color="auto"/>
                  </w:tcBorders>
                  <w:shd w:val="clear" w:color="auto" w:fill="BFBFBF"/>
                  <w:vAlign w:val="bottom"/>
                </w:tcPr>
                <w:p w14:paraId="3B4E4159" w14:textId="77777777" w:rsidR="00C37F53" w:rsidRPr="00E55EC0" w:rsidRDefault="00C37F53" w:rsidP="00C37F53">
                  <w:pPr>
                    <w:spacing w:after="0"/>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C37F53" w:rsidRPr="00E55EC0" w14:paraId="0F93CE2B" w14:textId="77777777" w:rsidTr="00C37F53">
              <w:trPr>
                <w:trHeight w:val="70"/>
                <w:jc w:val="center"/>
              </w:trPr>
              <w:tc>
                <w:tcPr>
                  <w:tcW w:w="498" w:type="dxa"/>
                  <w:vMerge/>
                  <w:tcBorders>
                    <w:left w:val="single" w:sz="4" w:space="0" w:color="auto"/>
                    <w:bottom w:val="single" w:sz="4" w:space="0" w:color="auto"/>
                    <w:right w:val="single" w:sz="4" w:space="0" w:color="auto"/>
                  </w:tcBorders>
                </w:tcPr>
                <w:p w14:paraId="298A00A9" w14:textId="77777777" w:rsidR="00C37F53" w:rsidRPr="00E55EC0" w:rsidRDefault="00C37F53" w:rsidP="00C37F53">
                  <w:pPr>
                    <w:spacing w:after="0"/>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BFBFBF"/>
                  <w:noWrap/>
                  <w:vAlign w:val="bottom"/>
                </w:tcPr>
                <w:p w14:paraId="2E4829CA"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395" w:type="dxa"/>
                  <w:tcBorders>
                    <w:top w:val="nil"/>
                    <w:left w:val="nil"/>
                    <w:bottom w:val="single" w:sz="4" w:space="0" w:color="auto"/>
                    <w:right w:val="single" w:sz="4" w:space="0" w:color="auto"/>
                  </w:tcBorders>
                  <w:shd w:val="clear" w:color="auto" w:fill="BFBFBF"/>
                  <w:noWrap/>
                  <w:vAlign w:val="bottom"/>
                </w:tcPr>
                <w:p w14:paraId="2177EE6B"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11025604" w14:textId="77777777" w:rsidR="00C37F53" w:rsidRPr="00E55EC0" w:rsidRDefault="00C37F53" w:rsidP="00C37F53">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21AA9472"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280DADB6"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2FCDDFDB"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850" w:type="dxa"/>
                  <w:vMerge/>
                  <w:tcBorders>
                    <w:left w:val="single" w:sz="4" w:space="0" w:color="auto"/>
                    <w:bottom w:val="single" w:sz="4" w:space="0" w:color="auto"/>
                    <w:right w:val="single" w:sz="4" w:space="0" w:color="auto"/>
                  </w:tcBorders>
                  <w:vAlign w:val="center"/>
                </w:tcPr>
                <w:p w14:paraId="0811AC01" w14:textId="77777777" w:rsidR="00C37F53" w:rsidRPr="00E55EC0" w:rsidRDefault="00C37F53" w:rsidP="00C37F53">
                  <w:pPr>
                    <w:spacing w:after="0"/>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shd w:val="clear" w:color="auto" w:fill="BFBFBF"/>
                </w:tcPr>
                <w:p w14:paraId="290054DE" w14:textId="77777777" w:rsidR="00C37F53" w:rsidRPr="00E55EC0" w:rsidRDefault="00C37F53" w:rsidP="00C37F53">
                  <w:pPr>
                    <w:spacing w:after="0"/>
                    <w:jc w:val="center"/>
                    <w:rPr>
                      <w:rFonts w:ascii="Calibri" w:eastAsia="Yu Mincho" w:hAnsi="Calibri" w:cs="Calibri"/>
                      <w:color w:val="000000"/>
                      <w:sz w:val="14"/>
                      <w:szCs w:val="18"/>
                      <w:lang w:eastAsia="ja-JP"/>
                    </w:rPr>
                  </w:pPr>
                </w:p>
              </w:tc>
              <w:tc>
                <w:tcPr>
                  <w:tcW w:w="1237" w:type="dxa"/>
                  <w:vMerge/>
                  <w:tcBorders>
                    <w:top w:val="nil"/>
                    <w:left w:val="single" w:sz="4" w:space="0" w:color="auto"/>
                    <w:bottom w:val="single" w:sz="4" w:space="0" w:color="auto"/>
                    <w:right w:val="single" w:sz="4" w:space="0" w:color="auto"/>
                  </w:tcBorders>
                  <w:vAlign w:val="center"/>
                </w:tcPr>
                <w:p w14:paraId="0CC48C76" w14:textId="77777777" w:rsidR="00C37F53" w:rsidRPr="00E55EC0" w:rsidRDefault="00C37F53" w:rsidP="00C37F53">
                  <w:pPr>
                    <w:spacing w:after="0"/>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vAlign w:val="center"/>
                </w:tcPr>
                <w:p w14:paraId="6B4D4D1A" w14:textId="77777777" w:rsidR="00C37F53" w:rsidRPr="00E55EC0" w:rsidRDefault="00C37F53" w:rsidP="00C37F53">
                  <w:pPr>
                    <w:spacing w:after="0"/>
                    <w:rPr>
                      <w:rFonts w:ascii="Calibri" w:hAnsi="Calibri" w:cs="Calibri"/>
                      <w:color w:val="000000"/>
                      <w:sz w:val="14"/>
                      <w:szCs w:val="18"/>
                    </w:rPr>
                  </w:pPr>
                </w:p>
              </w:tc>
            </w:tr>
            <w:tr w:rsidR="00C37F53" w:rsidRPr="00E55EC0" w14:paraId="47AC6A8D" w14:textId="77777777" w:rsidTr="00C37F53">
              <w:trPr>
                <w:trHeight w:val="70"/>
                <w:jc w:val="center"/>
              </w:trPr>
              <w:tc>
                <w:tcPr>
                  <w:tcW w:w="498" w:type="dxa"/>
                  <w:vMerge w:val="restart"/>
                  <w:tcBorders>
                    <w:top w:val="nil"/>
                    <w:left w:val="single" w:sz="4" w:space="0" w:color="auto"/>
                    <w:right w:val="single" w:sz="4" w:space="0" w:color="auto"/>
                  </w:tcBorders>
                  <w:shd w:val="clear" w:color="auto" w:fill="FFFF00"/>
                </w:tcPr>
                <w:p w14:paraId="3458F481" w14:textId="77777777" w:rsidR="00C37F53" w:rsidRPr="00E55EC0" w:rsidRDefault="00C37F53" w:rsidP="00C37F5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3a</w:t>
                  </w:r>
                </w:p>
              </w:tc>
              <w:tc>
                <w:tcPr>
                  <w:tcW w:w="528" w:type="dxa"/>
                  <w:tcBorders>
                    <w:top w:val="nil"/>
                    <w:left w:val="nil"/>
                    <w:bottom w:val="single" w:sz="4" w:space="0" w:color="auto"/>
                    <w:right w:val="single" w:sz="4" w:space="0" w:color="auto"/>
                  </w:tcBorders>
                  <w:shd w:val="clear" w:color="auto" w:fill="FFFF00"/>
                  <w:noWrap/>
                  <w:vAlign w:val="bottom"/>
                </w:tcPr>
                <w:p w14:paraId="53A8CB22"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78"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0D85C221"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5F75193E"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2A5654A3"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4CF9C762"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val="restart"/>
                  <w:tcBorders>
                    <w:top w:val="nil"/>
                    <w:left w:val="single" w:sz="4" w:space="0" w:color="auto"/>
                    <w:right w:val="single" w:sz="4" w:space="0" w:color="auto"/>
                  </w:tcBorders>
                  <w:shd w:val="clear" w:color="auto" w:fill="FFFF00"/>
                  <w:vAlign w:val="bottom"/>
                </w:tcPr>
                <w:p w14:paraId="2562D019"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929" w:type="dxa"/>
                  <w:vMerge w:val="restart"/>
                  <w:tcBorders>
                    <w:top w:val="nil"/>
                    <w:left w:val="single" w:sz="4" w:space="0" w:color="auto"/>
                    <w:right w:val="single" w:sz="4" w:space="0" w:color="auto"/>
                  </w:tcBorders>
                  <w:shd w:val="clear" w:color="auto" w:fill="FFFF00"/>
                </w:tcPr>
                <w:p w14:paraId="5AD60C39" w14:textId="77777777" w:rsidR="00C37F53" w:rsidRPr="00E55EC0" w:rsidRDefault="00C37F53" w:rsidP="00C37F53">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1237" w:type="dxa"/>
                  <w:vMerge w:val="restart"/>
                  <w:tcBorders>
                    <w:top w:val="nil"/>
                    <w:left w:val="single" w:sz="4" w:space="0" w:color="auto"/>
                    <w:bottom w:val="single" w:sz="4" w:space="0" w:color="auto"/>
                    <w:right w:val="single" w:sz="4" w:space="0" w:color="auto"/>
                  </w:tcBorders>
                  <w:shd w:val="clear" w:color="auto" w:fill="FFFF00"/>
                  <w:noWrap/>
                  <w:vAlign w:val="bottom"/>
                </w:tcPr>
                <w:p w14:paraId="609FC8F0"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2136" w:type="dxa"/>
                  <w:vMerge w:val="restart"/>
                  <w:tcBorders>
                    <w:top w:val="nil"/>
                    <w:left w:val="single" w:sz="4" w:space="0" w:color="auto"/>
                    <w:bottom w:val="single" w:sz="4" w:space="0" w:color="auto"/>
                    <w:right w:val="single" w:sz="4" w:space="0" w:color="auto"/>
                  </w:tcBorders>
                  <w:shd w:val="clear" w:color="auto" w:fill="FFFF00"/>
                  <w:vAlign w:val="bottom"/>
                </w:tcPr>
                <w:p w14:paraId="6CEC7E0B" w14:textId="77777777" w:rsidR="00C37F53" w:rsidRPr="00E55EC0" w:rsidRDefault="00C37F53" w:rsidP="00C37F53">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C37F53" w:rsidRPr="00E55EC0" w14:paraId="1A4CCB9F" w14:textId="77777777" w:rsidTr="00C37F53">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3C80751F" w14:textId="77777777" w:rsidR="00C37F53" w:rsidRPr="00E55EC0" w:rsidRDefault="00C37F53" w:rsidP="00C37F53">
                  <w:pPr>
                    <w:spacing w:after="0"/>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FFFF00"/>
                  <w:noWrap/>
                  <w:vAlign w:val="bottom"/>
                </w:tcPr>
                <w:p w14:paraId="2719EE32"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78" w:type="dxa"/>
                  <w:gridSpan w:val="2"/>
                  <w:vMerge/>
                  <w:tcBorders>
                    <w:top w:val="nil"/>
                    <w:left w:val="single" w:sz="4" w:space="0" w:color="auto"/>
                    <w:bottom w:val="single" w:sz="4" w:space="0" w:color="auto"/>
                    <w:right w:val="single" w:sz="4" w:space="0" w:color="auto"/>
                  </w:tcBorders>
                  <w:shd w:val="clear" w:color="auto" w:fill="FFFF00"/>
                  <w:vAlign w:val="center"/>
                </w:tcPr>
                <w:p w14:paraId="28D3B607" w14:textId="77777777" w:rsidR="00C37F53" w:rsidRPr="00E55EC0" w:rsidRDefault="00C37F53" w:rsidP="00C37F53">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5CFAF76B"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22F2ABA6"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52AFC8BC"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850" w:type="dxa"/>
                  <w:vMerge/>
                  <w:tcBorders>
                    <w:left w:val="single" w:sz="4" w:space="0" w:color="auto"/>
                    <w:bottom w:val="single" w:sz="4" w:space="0" w:color="auto"/>
                    <w:right w:val="single" w:sz="4" w:space="0" w:color="auto"/>
                  </w:tcBorders>
                  <w:shd w:val="clear" w:color="auto" w:fill="FFFF00"/>
                  <w:vAlign w:val="center"/>
                </w:tcPr>
                <w:p w14:paraId="3CB4AE70" w14:textId="77777777" w:rsidR="00C37F53" w:rsidRPr="00E55EC0" w:rsidRDefault="00C37F53" w:rsidP="00C37F53">
                  <w:pPr>
                    <w:spacing w:after="0"/>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shd w:val="clear" w:color="auto" w:fill="FFFF00"/>
                </w:tcPr>
                <w:p w14:paraId="7A94C5DE" w14:textId="77777777" w:rsidR="00C37F53" w:rsidRPr="00E55EC0" w:rsidRDefault="00C37F53" w:rsidP="00C37F53">
                  <w:pPr>
                    <w:spacing w:after="0"/>
                    <w:rPr>
                      <w:rFonts w:ascii="Calibri" w:eastAsia="Yu Mincho" w:hAnsi="Calibri" w:cs="Calibri"/>
                      <w:color w:val="000000"/>
                      <w:sz w:val="14"/>
                      <w:szCs w:val="18"/>
                      <w:lang w:eastAsia="ja-JP"/>
                    </w:rPr>
                  </w:pPr>
                </w:p>
              </w:tc>
              <w:tc>
                <w:tcPr>
                  <w:tcW w:w="1237" w:type="dxa"/>
                  <w:vMerge/>
                  <w:tcBorders>
                    <w:top w:val="nil"/>
                    <w:left w:val="single" w:sz="4" w:space="0" w:color="auto"/>
                    <w:bottom w:val="single" w:sz="4" w:space="0" w:color="auto"/>
                    <w:right w:val="single" w:sz="4" w:space="0" w:color="auto"/>
                  </w:tcBorders>
                  <w:shd w:val="clear" w:color="auto" w:fill="FFFF00"/>
                  <w:vAlign w:val="center"/>
                </w:tcPr>
                <w:p w14:paraId="3877C4EB" w14:textId="77777777" w:rsidR="00C37F53" w:rsidRPr="00E55EC0" w:rsidRDefault="00C37F53" w:rsidP="00C37F53">
                  <w:pPr>
                    <w:spacing w:after="0"/>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shd w:val="clear" w:color="auto" w:fill="FFFF00"/>
                  <w:vAlign w:val="center"/>
                </w:tcPr>
                <w:p w14:paraId="65CA3B2B" w14:textId="77777777" w:rsidR="00C37F53" w:rsidRPr="00E55EC0" w:rsidRDefault="00C37F53" w:rsidP="00C37F53">
                  <w:pPr>
                    <w:spacing w:after="0"/>
                    <w:rPr>
                      <w:rFonts w:ascii="Calibri" w:hAnsi="Calibri" w:cs="Calibri"/>
                      <w:color w:val="000000"/>
                      <w:sz w:val="14"/>
                      <w:szCs w:val="18"/>
                    </w:rPr>
                  </w:pPr>
                </w:p>
              </w:tc>
            </w:tr>
            <w:tr w:rsidR="00C37F53" w:rsidRPr="00E55EC0" w14:paraId="25ACD2DC" w14:textId="77777777" w:rsidTr="00C37F53">
              <w:trPr>
                <w:trHeight w:val="70"/>
                <w:jc w:val="center"/>
              </w:trPr>
              <w:tc>
                <w:tcPr>
                  <w:tcW w:w="498" w:type="dxa"/>
                  <w:vMerge w:val="restart"/>
                  <w:tcBorders>
                    <w:top w:val="nil"/>
                    <w:left w:val="single" w:sz="4" w:space="0" w:color="auto"/>
                    <w:right w:val="single" w:sz="4" w:space="0" w:color="auto"/>
                  </w:tcBorders>
                  <w:shd w:val="clear" w:color="auto" w:fill="FFFF00"/>
                </w:tcPr>
                <w:p w14:paraId="0F2C54ED" w14:textId="77777777" w:rsidR="00C37F53" w:rsidRPr="00E55EC0" w:rsidRDefault="00C37F53" w:rsidP="00C37F5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28" w:type="dxa"/>
                  <w:tcBorders>
                    <w:top w:val="nil"/>
                    <w:left w:val="nil"/>
                    <w:bottom w:val="single" w:sz="4" w:space="0" w:color="auto"/>
                    <w:right w:val="single" w:sz="4" w:space="0" w:color="auto"/>
                  </w:tcBorders>
                  <w:shd w:val="clear" w:color="auto" w:fill="FFFF00"/>
                  <w:noWrap/>
                  <w:vAlign w:val="bottom"/>
                </w:tcPr>
                <w:p w14:paraId="32C2CA7C"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78"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75DECE56"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7F9EAA88"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050115D3"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15AF0138"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val="restart"/>
                  <w:tcBorders>
                    <w:top w:val="nil"/>
                    <w:left w:val="single" w:sz="4" w:space="0" w:color="auto"/>
                    <w:right w:val="single" w:sz="4" w:space="0" w:color="auto"/>
                  </w:tcBorders>
                  <w:shd w:val="clear" w:color="auto" w:fill="FFFF00"/>
                  <w:vAlign w:val="bottom"/>
                </w:tcPr>
                <w:p w14:paraId="75CE7258"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929" w:type="dxa"/>
                  <w:vMerge w:val="restart"/>
                  <w:tcBorders>
                    <w:top w:val="nil"/>
                    <w:left w:val="single" w:sz="4" w:space="0" w:color="auto"/>
                    <w:right w:val="single" w:sz="4" w:space="0" w:color="auto"/>
                  </w:tcBorders>
                  <w:shd w:val="clear" w:color="auto" w:fill="FFFF00"/>
                </w:tcPr>
                <w:p w14:paraId="0C05923B" w14:textId="77777777" w:rsidR="00C37F53" w:rsidRPr="00E55EC0" w:rsidRDefault="00C37F53" w:rsidP="00C37F53">
                  <w:pPr>
                    <w:spacing w:after="0"/>
                    <w:jc w:val="center"/>
                    <w:rPr>
                      <w:rFonts w:ascii="Calibri" w:hAnsi="Calibri" w:cs="Calibri"/>
                      <w:color w:val="000000"/>
                      <w:sz w:val="14"/>
                      <w:szCs w:val="18"/>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1237" w:type="dxa"/>
                  <w:vMerge w:val="restart"/>
                  <w:tcBorders>
                    <w:top w:val="nil"/>
                    <w:left w:val="single" w:sz="4" w:space="0" w:color="auto"/>
                    <w:bottom w:val="single" w:sz="4" w:space="0" w:color="auto"/>
                    <w:right w:val="single" w:sz="4" w:space="0" w:color="auto"/>
                  </w:tcBorders>
                  <w:shd w:val="clear" w:color="auto" w:fill="FFFF00"/>
                  <w:noWrap/>
                  <w:vAlign w:val="bottom"/>
                </w:tcPr>
                <w:p w14:paraId="4CC7A970"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2136" w:type="dxa"/>
                  <w:vMerge w:val="restart"/>
                  <w:tcBorders>
                    <w:top w:val="nil"/>
                    <w:left w:val="single" w:sz="4" w:space="0" w:color="auto"/>
                    <w:bottom w:val="single" w:sz="4" w:space="0" w:color="auto"/>
                    <w:right w:val="single" w:sz="4" w:space="0" w:color="auto"/>
                  </w:tcBorders>
                  <w:shd w:val="clear" w:color="auto" w:fill="FFFF00"/>
                  <w:vAlign w:val="bottom"/>
                </w:tcPr>
                <w:p w14:paraId="22BC1CE2" w14:textId="77777777" w:rsidR="00C37F53" w:rsidRPr="00E55EC0" w:rsidRDefault="00C37F53" w:rsidP="00C37F53">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C37F53" w:rsidRPr="00E55EC0" w14:paraId="5EBD11A4" w14:textId="77777777" w:rsidTr="00C37F53">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722203B5" w14:textId="77777777" w:rsidR="00C37F53" w:rsidRPr="00E55EC0" w:rsidRDefault="00C37F53" w:rsidP="00C37F53">
                  <w:pPr>
                    <w:spacing w:after="0"/>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FFFF00"/>
                  <w:noWrap/>
                  <w:vAlign w:val="bottom"/>
                </w:tcPr>
                <w:p w14:paraId="1DF52307"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78" w:type="dxa"/>
                  <w:gridSpan w:val="2"/>
                  <w:vMerge/>
                  <w:tcBorders>
                    <w:top w:val="nil"/>
                    <w:left w:val="single" w:sz="4" w:space="0" w:color="auto"/>
                    <w:bottom w:val="single" w:sz="4" w:space="0" w:color="auto"/>
                    <w:right w:val="single" w:sz="4" w:space="0" w:color="auto"/>
                  </w:tcBorders>
                  <w:shd w:val="clear" w:color="auto" w:fill="FFFF00"/>
                  <w:vAlign w:val="center"/>
                </w:tcPr>
                <w:p w14:paraId="604D8926" w14:textId="77777777" w:rsidR="00C37F53" w:rsidRPr="00E55EC0" w:rsidRDefault="00C37F53" w:rsidP="00C37F53">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19936D32"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47D0CA57"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2FEF47C5"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tcBorders>
                    <w:left w:val="single" w:sz="4" w:space="0" w:color="auto"/>
                    <w:bottom w:val="single" w:sz="4" w:space="0" w:color="auto"/>
                    <w:right w:val="single" w:sz="4" w:space="0" w:color="auto"/>
                  </w:tcBorders>
                  <w:vAlign w:val="center"/>
                </w:tcPr>
                <w:p w14:paraId="09A11415" w14:textId="77777777" w:rsidR="00C37F53" w:rsidRPr="00E55EC0" w:rsidRDefault="00C37F53" w:rsidP="00C37F53">
                  <w:pPr>
                    <w:spacing w:after="0"/>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tcPr>
                <w:p w14:paraId="038C0FFF" w14:textId="77777777" w:rsidR="00C37F53" w:rsidRPr="00E55EC0" w:rsidRDefault="00C37F53" w:rsidP="00C37F53">
                  <w:pPr>
                    <w:spacing w:after="0"/>
                    <w:jc w:val="center"/>
                    <w:rPr>
                      <w:rFonts w:ascii="Calibri" w:hAnsi="Calibri" w:cs="Calibri"/>
                      <w:color w:val="000000"/>
                      <w:sz w:val="14"/>
                      <w:szCs w:val="18"/>
                    </w:rPr>
                  </w:pPr>
                </w:p>
              </w:tc>
              <w:tc>
                <w:tcPr>
                  <w:tcW w:w="1237" w:type="dxa"/>
                  <w:vMerge/>
                  <w:tcBorders>
                    <w:top w:val="nil"/>
                    <w:left w:val="single" w:sz="4" w:space="0" w:color="auto"/>
                    <w:bottom w:val="single" w:sz="4" w:space="0" w:color="auto"/>
                    <w:right w:val="single" w:sz="4" w:space="0" w:color="auto"/>
                  </w:tcBorders>
                  <w:vAlign w:val="center"/>
                </w:tcPr>
                <w:p w14:paraId="2F4E5D1D" w14:textId="77777777" w:rsidR="00C37F53" w:rsidRPr="00E55EC0" w:rsidRDefault="00C37F53" w:rsidP="00C37F53">
                  <w:pPr>
                    <w:spacing w:after="0"/>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vAlign w:val="center"/>
                </w:tcPr>
                <w:p w14:paraId="6C56F334" w14:textId="77777777" w:rsidR="00C37F53" w:rsidRPr="00E55EC0" w:rsidRDefault="00C37F53" w:rsidP="00C37F53">
                  <w:pPr>
                    <w:spacing w:after="0"/>
                    <w:rPr>
                      <w:rFonts w:ascii="Calibri" w:hAnsi="Calibri" w:cs="Calibri"/>
                      <w:color w:val="000000"/>
                      <w:sz w:val="14"/>
                      <w:szCs w:val="18"/>
                    </w:rPr>
                  </w:pPr>
                </w:p>
              </w:tc>
            </w:tr>
            <w:tr w:rsidR="00C37F53" w:rsidRPr="00E55EC0" w14:paraId="262FD094" w14:textId="77777777" w:rsidTr="00C37F53">
              <w:trPr>
                <w:trHeight w:val="70"/>
                <w:jc w:val="center"/>
              </w:trPr>
              <w:tc>
                <w:tcPr>
                  <w:tcW w:w="498" w:type="dxa"/>
                  <w:vMerge w:val="restart"/>
                  <w:tcBorders>
                    <w:top w:val="nil"/>
                    <w:left w:val="single" w:sz="4" w:space="0" w:color="auto"/>
                    <w:right w:val="single" w:sz="4" w:space="0" w:color="auto"/>
                  </w:tcBorders>
                  <w:shd w:val="clear" w:color="auto" w:fill="auto"/>
                </w:tcPr>
                <w:p w14:paraId="165AB53F" w14:textId="77777777" w:rsidR="00C37F53" w:rsidRPr="00E55EC0" w:rsidRDefault="00C37F53" w:rsidP="00C37F5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28" w:type="dxa"/>
                  <w:tcBorders>
                    <w:top w:val="nil"/>
                    <w:left w:val="nil"/>
                    <w:bottom w:val="single" w:sz="4" w:space="0" w:color="auto"/>
                    <w:right w:val="single" w:sz="4" w:space="0" w:color="auto"/>
                  </w:tcBorders>
                  <w:shd w:val="clear" w:color="auto" w:fill="auto"/>
                  <w:noWrap/>
                  <w:vAlign w:val="bottom"/>
                </w:tcPr>
                <w:p w14:paraId="30E7DE3F"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395" w:type="dxa"/>
                  <w:tcBorders>
                    <w:top w:val="nil"/>
                    <w:left w:val="nil"/>
                    <w:bottom w:val="single" w:sz="4" w:space="0" w:color="auto"/>
                    <w:right w:val="single" w:sz="4" w:space="0" w:color="auto"/>
                  </w:tcBorders>
                  <w:shd w:val="clear" w:color="auto" w:fill="auto"/>
                  <w:noWrap/>
                  <w:vAlign w:val="bottom"/>
                </w:tcPr>
                <w:p w14:paraId="4A45DEBE"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757F0047" w14:textId="77777777" w:rsidR="00C37F53" w:rsidRPr="00E55EC0" w:rsidRDefault="00C37F53" w:rsidP="00C37F53">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14:paraId="243A9B28" w14:textId="77777777" w:rsidR="00C37F53" w:rsidRPr="00E55EC0" w:rsidRDefault="00C37F53" w:rsidP="00C37F53">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775F0EA4"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14C1A3DD"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63B8198B"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val="restart"/>
                  <w:tcBorders>
                    <w:top w:val="nil"/>
                    <w:left w:val="single" w:sz="4" w:space="0" w:color="auto"/>
                    <w:right w:val="single" w:sz="4" w:space="0" w:color="auto"/>
                  </w:tcBorders>
                  <w:vAlign w:val="bottom"/>
                </w:tcPr>
                <w:p w14:paraId="28B8D58B"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929" w:type="dxa"/>
                  <w:vMerge w:val="restart"/>
                  <w:tcBorders>
                    <w:top w:val="nil"/>
                    <w:left w:val="single" w:sz="4" w:space="0" w:color="auto"/>
                    <w:right w:val="single" w:sz="4" w:space="0" w:color="auto"/>
                  </w:tcBorders>
                </w:tcPr>
                <w:p w14:paraId="55E50C7D" w14:textId="77777777" w:rsidR="00C37F53" w:rsidRPr="00E55EC0" w:rsidRDefault="00C37F53" w:rsidP="00C37F53">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1237" w:type="dxa"/>
                  <w:vMerge w:val="restart"/>
                  <w:tcBorders>
                    <w:top w:val="nil"/>
                    <w:left w:val="single" w:sz="4" w:space="0" w:color="auto"/>
                    <w:bottom w:val="single" w:sz="4" w:space="0" w:color="auto"/>
                    <w:right w:val="single" w:sz="4" w:space="0" w:color="auto"/>
                  </w:tcBorders>
                  <w:shd w:val="clear" w:color="auto" w:fill="auto"/>
                  <w:noWrap/>
                  <w:vAlign w:val="bottom"/>
                </w:tcPr>
                <w:p w14:paraId="4F1CECD4"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2136" w:type="dxa"/>
                  <w:vMerge w:val="restart"/>
                  <w:tcBorders>
                    <w:top w:val="nil"/>
                    <w:left w:val="single" w:sz="4" w:space="0" w:color="auto"/>
                    <w:bottom w:val="single" w:sz="4" w:space="0" w:color="auto"/>
                    <w:right w:val="single" w:sz="4" w:space="0" w:color="auto"/>
                  </w:tcBorders>
                  <w:shd w:val="clear" w:color="auto" w:fill="auto"/>
                  <w:vAlign w:val="bottom"/>
                </w:tcPr>
                <w:p w14:paraId="23B65D8E" w14:textId="77777777" w:rsidR="00C37F53" w:rsidRPr="00E55EC0" w:rsidRDefault="00C37F53" w:rsidP="00C37F53">
                  <w:pPr>
                    <w:spacing w:after="0"/>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(for which frequency range), FWA only</w:t>
                  </w:r>
                </w:p>
              </w:tc>
            </w:tr>
            <w:tr w:rsidR="00C37F53" w:rsidRPr="00E55EC0" w14:paraId="5FA91CFB" w14:textId="77777777" w:rsidTr="00C37F53">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136175E4" w14:textId="77777777" w:rsidR="00C37F53" w:rsidRPr="00E55EC0" w:rsidRDefault="00C37F53" w:rsidP="00C37F53">
                  <w:pPr>
                    <w:spacing w:after="0"/>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auto"/>
                  <w:noWrap/>
                  <w:vAlign w:val="bottom"/>
                </w:tcPr>
                <w:p w14:paraId="1CF4612E"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395" w:type="dxa"/>
                  <w:tcBorders>
                    <w:top w:val="nil"/>
                    <w:left w:val="nil"/>
                    <w:bottom w:val="single" w:sz="4" w:space="0" w:color="auto"/>
                    <w:right w:val="single" w:sz="4" w:space="0" w:color="auto"/>
                  </w:tcBorders>
                  <w:shd w:val="clear" w:color="auto" w:fill="auto"/>
                  <w:noWrap/>
                  <w:vAlign w:val="bottom"/>
                </w:tcPr>
                <w:p w14:paraId="6640E1C6"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62224E61" w14:textId="77777777" w:rsidR="00C37F53" w:rsidRPr="00E55EC0" w:rsidRDefault="00C37F53" w:rsidP="00C37F53">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5925DD31"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1CA3879B"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489600E0"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850" w:type="dxa"/>
                  <w:vMerge/>
                  <w:tcBorders>
                    <w:left w:val="single" w:sz="4" w:space="0" w:color="auto"/>
                    <w:bottom w:val="single" w:sz="4" w:space="0" w:color="auto"/>
                    <w:right w:val="single" w:sz="4" w:space="0" w:color="auto"/>
                  </w:tcBorders>
                  <w:vAlign w:val="center"/>
                </w:tcPr>
                <w:p w14:paraId="3DAC7ABA" w14:textId="77777777" w:rsidR="00C37F53" w:rsidRPr="00E55EC0" w:rsidRDefault="00C37F53" w:rsidP="00C37F53">
                  <w:pPr>
                    <w:spacing w:after="0"/>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tcPr>
                <w:p w14:paraId="1CECF3E2" w14:textId="77777777" w:rsidR="00C37F53" w:rsidRPr="00E55EC0" w:rsidRDefault="00C37F53" w:rsidP="00C37F53">
                  <w:pPr>
                    <w:spacing w:after="0"/>
                    <w:jc w:val="center"/>
                    <w:rPr>
                      <w:rFonts w:ascii="Calibri" w:hAnsi="Calibri" w:cs="Calibri"/>
                      <w:color w:val="000000"/>
                      <w:sz w:val="14"/>
                      <w:szCs w:val="18"/>
                    </w:rPr>
                  </w:pPr>
                </w:p>
              </w:tc>
              <w:tc>
                <w:tcPr>
                  <w:tcW w:w="1237" w:type="dxa"/>
                  <w:vMerge/>
                  <w:tcBorders>
                    <w:top w:val="nil"/>
                    <w:left w:val="single" w:sz="4" w:space="0" w:color="auto"/>
                    <w:bottom w:val="single" w:sz="4" w:space="0" w:color="auto"/>
                    <w:right w:val="single" w:sz="4" w:space="0" w:color="auto"/>
                  </w:tcBorders>
                  <w:vAlign w:val="center"/>
                </w:tcPr>
                <w:p w14:paraId="4954F56D" w14:textId="77777777" w:rsidR="00C37F53" w:rsidRPr="00E55EC0" w:rsidRDefault="00C37F53" w:rsidP="00C37F53">
                  <w:pPr>
                    <w:spacing w:after="0"/>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vAlign w:val="center"/>
                </w:tcPr>
                <w:p w14:paraId="5B5825A5" w14:textId="77777777" w:rsidR="00C37F53" w:rsidRPr="00E55EC0" w:rsidRDefault="00C37F53" w:rsidP="00C37F53">
                  <w:pPr>
                    <w:spacing w:after="0"/>
                    <w:rPr>
                      <w:rFonts w:ascii="Calibri" w:hAnsi="Calibri" w:cs="Calibri"/>
                      <w:color w:val="000000"/>
                      <w:sz w:val="14"/>
                      <w:szCs w:val="18"/>
                    </w:rPr>
                  </w:pPr>
                </w:p>
              </w:tc>
            </w:tr>
            <w:tr w:rsidR="00C37F53" w:rsidRPr="00E55EC0" w14:paraId="638511A7" w14:textId="77777777" w:rsidTr="00C37F53">
              <w:trPr>
                <w:trHeight w:val="70"/>
                <w:jc w:val="center"/>
              </w:trPr>
              <w:tc>
                <w:tcPr>
                  <w:tcW w:w="498" w:type="dxa"/>
                  <w:vMerge w:val="restart"/>
                  <w:tcBorders>
                    <w:top w:val="nil"/>
                    <w:left w:val="single" w:sz="4" w:space="0" w:color="auto"/>
                    <w:right w:val="single" w:sz="4" w:space="0" w:color="auto"/>
                  </w:tcBorders>
                  <w:shd w:val="clear" w:color="auto" w:fill="auto"/>
                </w:tcPr>
                <w:p w14:paraId="75C9B48E" w14:textId="77777777" w:rsidR="00C37F53" w:rsidRPr="00E55EC0" w:rsidRDefault="00C37F53" w:rsidP="00C37F53">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28" w:type="dxa"/>
                  <w:tcBorders>
                    <w:top w:val="nil"/>
                    <w:left w:val="nil"/>
                    <w:bottom w:val="single" w:sz="4" w:space="0" w:color="auto"/>
                    <w:right w:val="single" w:sz="4" w:space="0" w:color="auto"/>
                  </w:tcBorders>
                  <w:shd w:val="clear" w:color="auto" w:fill="auto"/>
                  <w:noWrap/>
                  <w:vAlign w:val="bottom"/>
                </w:tcPr>
                <w:p w14:paraId="56209097"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395" w:type="dxa"/>
                  <w:tcBorders>
                    <w:top w:val="nil"/>
                    <w:left w:val="nil"/>
                    <w:bottom w:val="single" w:sz="4" w:space="0" w:color="auto"/>
                    <w:right w:val="single" w:sz="4" w:space="0" w:color="auto"/>
                  </w:tcBorders>
                  <w:shd w:val="clear" w:color="auto" w:fill="auto"/>
                  <w:noWrap/>
                  <w:vAlign w:val="bottom"/>
                </w:tcPr>
                <w:p w14:paraId="3A57C500"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542D6A2A" w14:textId="77777777" w:rsidR="00C37F53" w:rsidRPr="00E55EC0" w:rsidRDefault="00C37F53" w:rsidP="00C37F53">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14:paraId="6D4EACF0" w14:textId="77777777" w:rsidR="00C37F53" w:rsidRPr="00E55EC0" w:rsidRDefault="00C37F53" w:rsidP="00C37F53">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7E4D71AA"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7C0E77F9"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521D76FA"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val="restart"/>
                  <w:tcBorders>
                    <w:top w:val="nil"/>
                    <w:left w:val="single" w:sz="4" w:space="0" w:color="auto"/>
                    <w:right w:val="single" w:sz="4" w:space="0" w:color="auto"/>
                  </w:tcBorders>
                  <w:vAlign w:val="bottom"/>
                </w:tcPr>
                <w:p w14:paraId="4F6A47D6"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929" w:type="dxa"/>
                  <w:vMerge w:val="restart"/>
                  <w:tcBorders>
                    <w:top w:val="nil"/>
                    <w:left w:val="single" w:sz="4" w:space="0" w:color="auto"/>
                    <w:right w:val="single" w:sz="4" w:space="0" w:color="auto"/>
                  </w:tcBorders>
                </w:tcPr>
                <w:p w14:paraId="3B52AF9D" w14:textId="77777777" w:rsidR="00C37F53" w:rsidRPr="00E55EC0" w:rsidRDefault="00C37F53" w:rsidP="00C37F53">
                  <w:pPr>
                    <w:spacing w:after="0"/>
                    <w:jc w:val="center"/>
                    <w:rPr>
                      <w:rFonts w:ascii="Calibri" w:hAnsi="Calibri" w:cs="Calibri"/>
                      <w:color w:val="000000"/>
                      <w:sz w:val="14"/>
                      <w:szCs w:val="18"/>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1237" w:type="dxa"/>
                  <w:vMerge w:val="restart"/>
                  <w:tcBorders>
                    <w:top w:val="nil"/>
                    <w:left w:val="single" w:sz="4" w:space="0" w:color="auto"/>
                    <w:bottom w:val="single" w:sz="4" w:space="0" w:color="auto"/>
                    <w:right w:val="single" w:sz="4" w:space="0" w:color="auto"/>
                  </w:tcBorders>
                  <w:shd w:val="clear" w:color="auto" w:fill="auto"/>
                  <w:noWrap/>
                  <w:vAlign w:val="bottom"/>
                </w:tcPr>
                <w:p w14:paraId="6E27EFD3"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2136" w:type="dxa"/>
                  <w:vMerge w:val="restart"/>
                  <w:tcBorders>
                    <w:top w:val="nil"/>
                    <w:left w:val="single" w:sz="4" w:space="0" w:color="auto"/>
                    <w:bottom w:val="single" w:sz="4" w:space="0" w:color="auto"/>
                    <w:right w:val="single" w:sz="4" w:space="0" w:color="auto"/>
                  </w:tcBorders>
                  <w:shd w:val="clear" w:color="auto" w:fill="auto"/>
                  <w:vAlign w:val="bottom"/>
                </w:tcPr>
                <w:p w14:paraId="0D287109" w14:textId="77777777" w:rsidR="00C37F53" w:rsidRPr="00E55EC0" w:rsidRDefault="00C37F53" w:rsidP="00C37F53">
                  <w:pPr>
                    <w:spacing w:after="0"/>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(for which frequency range), FWA only</w:t>
                  </w:r>
                </w:p>
              </w:tc>
            </w:tr>
            <w:tr w:rsidR="00C37F53" w:rsidRPr="00E55EC0" w14:paraId="75CFFAEA" w14:textId="77777777" w:rsidTr="00C37F53">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03031408" w14:textId="77777777" w:rsidR="00C37F53" w:rsidRPr="00E55EC0" w:rsidRDefault="00C37F53" w:rsidP="00C37F53">
                  <w:pPr>
                    <w:spacing w:after="0"/>
                    <w:rPr>
                      <w:rFonts w:ascii="Calibri" w:hAnsi="Calibri" w:cs="Calibri"/>
                      <w:color w:val="000000"/>
                      <w:sz w:val="14"/>
                      <w:szCs w:val="18"/>
                    </w:rPr>
                  </w:pPr>
                </w:p>
              </w:tc>
              <w:tc>
                <w:tcPr>
                  <w:tcW w:w="528" w:type="dxa"/>
                  <w:tcBorders>
                    <w:top w:val="nil"/>
                    <w:left w:val="nil"/>
                    <w:bottom w:val="single" w:sz="4" w:space="0" w:color="auto"/>
                    <w:right w:val="single" w:sz="4" w:space="0" w:color="auto"/>
                  </w:tcBorders>
                  <w:shd w:val="clear" w:color="auto" w:fill="auto"/>
                  <w:noWrap/>
                  <w:vAlign w:val="bottom"/>
                </w:tcPr>
                <w:p w14:paraId="28241AA6"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395" w:type="dxa"/>
                  <w:tcBorders>
                    <w:top w:val="nil"/>
                    <w:left w:val="nil"/>
                    <w:bottom w:val="single" w:sz="4" w:space="0" w:color="auto"/>
                    <w:right w:val="single" w:sz="4" w:space="0" w:color="auto"/>
                  </w:tcBorders>
                  <w:shd w:val="clear" w:color="auto" w:fill="auto"/>
                  <w:noWrap/>
                  <w:vAlign w:val="bottom"/>
                </w:tcPr>
                <w:p w14:paraId="0C1F1E70"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14:paraId="20DF67C9" w14:textId="77777777" w:rsidR="00C37F53" w:rsidRPr="00E55EC0" w:rsidRDefault="00C37F53" w:rsidP="00C37F53">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359D4D3B"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6EA8A7A6"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573475A0" w14:textId="77777777" w:rsidR="00C37F53" w:rsidRPr="00E55EC0" w:rsidRDefault="00C37F53" w:rsidP="00C37F53">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850" w:type="dxa"/>
                  <w:vMerge/>
                  <w:tcBorders>
                    <w:left w:val="single" w:sz="4" w:space="0" w:color="auto"/>
                    <w:bottom w:val="single" w:sz="4" w:space="0" w:color="auto"/>
                    <w:right w:val="single" w:sz="4" w:space="0" w:color="auto"/>
                  </w:tcBorders>
                  <w:vAlign w:val="center"/>
                </w:tcPr>
                <w:p w14:paraId="129171BD" w14:textId="77777777" w:rsidR="00C37F53" w:rsidRPr="00E55EC0" w:rsidRDefault="00C37F53" w:rsidP="00C37F53">
                  <w:pPr>
                    <w:spacing w:after="0"/>
                    <w:rPr>
                      <w:rFonts w:ascii="Calibri" w:hAnsi="Calibri" w:cs="Calibri"/>
                      <w:color w:val="000000"/>
                      <w:sz w:val="14"/>
                      <w:szCs w:val="18"/>
                    </w:rPr>
                  </w:pPr>
                </w:p>
              </w:tc>
              <w:tc>
                <w:tcPr>
                  <w:tcW w:w="929" w:type="dxa"/>
                  <w:vMerge/>
                  <w:tcBorders>
                    <w:left w:val="single" w:sz="4" w:space="0" w:color="auto"/>
                    <w:bottom w:val="single" w:sz="4" w:space="0" w:color="auto"/>
                    <w:right w:val="single" w:sz="4" w:space="0" w:color="auto"/>
                  </w:tcBorders>
                </w:tcPr>
                <w:p w14:paraId="70C527BD" w14:textId="77777777" w:rsidR="00C37F53" w:rsidRPr="00E55EC0" w:rsidRDefault="00C37F53" w:rsidP="00C37F53">
                  <w:pPr>
                    <w:spacing w:after="0"/>
                    <w:jc w:val="center"/>
                    <w:rPr>
                      <w:rFonts w:ascii="Calibri" w:hAnsi="Calibri" w:cs="Calibri"/>
                      <w:color w:val="000000"/>
                      <w:sz w:val="14"/>
                      <w:szCs w:val="18"/>
                    </w:rPr>
                  </w:pPr>
                </w:p>
              </w:tc>
              <w:tc>
                <w:tcPr>
                  <w:tcW w:w="1237" w:type="dxa"/>
                  <w:vMerge/>
                  <w:tcBorders>
                    <w:top w:val="nil"/>
                    <w:left w:val="single" w:sz="4" w:space="0" w:color="auto"/>
                    <w:bottom w:val="single" w:sz="4" w:space="0" w:color="auto"/>
                    <w:right w:val="single" w:sz="4" w:space="0" w:color="auto"/>
                  </w:tcBorders>
                  <w:vAlign w:val="center"/>
                </w:tcPr>
                <w:p w14:paraId="569273D2" w14:textId="77777777" w:rsidR="00C37F53" w:rsidRPr="00E55EC0" w:rsidRDefault="00C37F53" w:rsidP="00C37F53">
                  <w:pPr>
                    <w:spacing w:after="0"/>
                    <w:rPr>
                      <w:rFonts w:ascii="Calibri" w:hAnsi="Calibri" w:cs="Calibri"/>
                      <w:color w:val="000000"/>
                      <w:sz w:val="14"/>
                      <w:szCs w:val="18"/>
                    </w:rPr>
                  </w:pPr>
                </w:p>
              </w:tc>
              <w:tc>
                <w:tcPr>
                  <w:tcW w:w="2136" w:type="dxa"/>
                  <w:vMerge/>
                  <w:tcBorders>
                    <w:top w:val="nil"/>
                    <w:left w:val="single" w:sz="4" w:space="0" w:color="auto"/>
                    <w:bottom w:val="single" w:sz="4" w:space="0" w:color="auto"/>
                    <w:right w:val="single" w:sz="4" w:space="0" w:color="auto"/>
                  </w:tcBorders>
                  <w:vAlign w:val="center"/>
                </w:tcPr>
                <w:p w14:paraId="4B722A5C" w14:textId="77777777" w:rsidR="00C37F53" w:rsidRPr="00E55EC0" w:rsidRDefault="00C37F53" w:rsidP="00C37F53">
                  <w:pPr>
                    <w:spacing w:after="0"/>
                    <w:rPr>
                      <w:rFonts w:ascii="Calibri" w:hAnsi="Calibri" w:cs="Calibri"/>
                      <w:color w:val="000000"/>
                      <w:sz w:val="14"/>
                      <w:szCs w:val="18"/>
                    </w:rPr>
                  </w:pPr>
                </w:p>
              </w:tc>
            </w:tr>
          </w:tbl>
          <w:bookmarkEnd w:id="5"/>
          <w:p w14:paraId="52192E36" w14:textId="2FFBAD82" w:rsidR="00C37F53" w:rsidRDefault="00C37F53" w:rsidP="00387FDA">
            <w:r>
              <w:t xml:space="preserve"> </w:t>
            </w:r>
          </w:p>
        </w:tc>
      </w:tr>
    </w:tbl>
    <w:p w14:paraId="6CE74B9A" w14:textId="77777777" w:rsidR="001E7D60" w:rsidRDefault="001E7D60" w:rsidP="0063180C"/>
    <w:p w14:paraId="48B75AC2" w14:textId="5608C02B" w:rsidR="00D3015A" w:rsidRDefault="00577453" w:rsidP="0063180C">
      <w:r>
        <w:t>It is our understanding that from a baseband perspective, type-2 and type-</w:t>
      </w:r>
      <w:r w:rsidR="009C7C1D">
        <w:t>3</w:t>
      </w:r>
      <w:r>
        <w:t xml:space="preserve"> differ in the </w:t>
      </w:r>
      <w:r w:rsidR="00F56B7E">
        <w:t xml:space="preserve">number of </w:t>
      </w:r>
      <w:r w:rsidR="00076B3A">
        <w:t>BB/Rx chains available for each cell. In particular, typ</w:t>
      </w:r>
      <w:r w:rsidR="009C7C1D">
        <w:t>e</w:t>
      </w:r>
      <w:r w:rsidR="00076B3A">
        <w:t xml:space="preserve">-2 has </w:t>
      </w:r>
      <w:r w:rsidR="009C7C1D">
        <w:t>a BB/Rx chain per CC, while type-3 shares one</w:t>
      </w:r>
      <w:r w:rsidR="001076A0">
        <w:t xml:space="preserve"> </w:t>
      </w:r>
      <w:r w:rsidR="001076A0">
        <w:fldChar w:fldCharType="begin"/>
      </w:r>
      <w:r w:rsidR="001076A0">
        <w:instrText xml:space="preserve"> REF _Ref131711978 \r \h </w:instrText>
      </w:r>
      <w:r w:rsidR="001076A0">
        <w:fldChar w:fldCharType="separate"/>
      </w:r>
      <w:r w:rsidR="00374ABF">
        <w:t>[3]</w:t>
      </w:r>
      <w:r w:rsidR="001076A0">
        <w:fldChar w:fldCharType="end"/>
      </w:r>
      <w:r w:rsidR="009C7C1D">
        <w:t>.</w:t>
      </w:r>
    </w:p>
    <w:p w14:paraId="4E0F62E3" w14:textId="3D219480" w:rsidR="009C7C1D" w:rsidRDefault="000C4E0B" w:rsidP="00D3015A">
      <w:pPr>
        <w:spacing w:after="0"/>
        <w:jc w:val="center"/>
      </w:pPr>
      <w:r>
        <w:object w:dxaOrig="22164" w:dyaOrig="15370" w14:anchorId="1E698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236pt" o:ole="">
            <v:imagedata r:id="rId13" o:title=""/>
          </v:shape>
          <o:OLEObject Type="Embed" ProgID="Visio.Drawing.11" ShapeID="_x0000_i1025" DrawAspect="Content" ObjectID="_1742590808" r:id="rId14"/>
        </w:object>
      </w:r>
    </w:p>
    <w:p w14:paraId="31959020" w14:textId="1D35AF78" w:rsidR="009C7C1D" w:rsidRDefault="00D3015A" w:rsidP="00D3015A">
      <w:pPr>
        <w:pStyle w:val="Caption"/>
      </w:pPr>
      <w:r>
        <w:t xml:space="preserve">Figure </w:t>
      </w:r>
      <w:r>
        <w:fldChar w:fldCharType="begin"/>
      </w:r>
      <w:r>
        <w:instrText>SEQ Figure \* ARABIC</w:instrText>
      </w:r>
      <w:r>
        <w:fldChar w:fldCharType="separate"/>
      </w:r>
      <w:r w:rsidR="00374ABF">
        <w:rPr>
          <w:noProof/>
        </w:rPr>
        <w:t>1</w:t>
      </w:r>
      <w:r>
        <w:fldChar w:fldCharType="end"/>
      </w:r>
      <w:r>
        <w:t>: UE architecture comparison from [</w:t>
      </w:r>
      <w:r w:rsidRPr="004F51E4">
        <w:t>R4-2215736</w:t>
      </w:r>
      <w:r>
        <w:t>]</w:t>
      </w:r>
    </w:p>
    <w:p w14:paraId="390F3438" w14:textId="77777777" w:rsidR="000C4E0B" w:rsidRDefault="000C4E0B" w:rsidP="0063180C"/>
    <w:p w14:paraId="5CB8CBBC" w14:textId="19D6E2F4" w:rsidR="00A709EE" w:rsidRDefault="009C7C1D" w:rsidP="0063180C">
      <w:r>
        <w:t xml:space="preserve">From a demodulation </w:t>
      </w:r>
      <w:r w:rsidR="001076A0">
        <w:t>point of view</w:t>
      </w:r>
      <w:r>
        <w:t xml:space="preserve"> this has a big impact on the demodulation performance, since type-2 can compensate for receive time differences (RTDs) and power imbalance, while type-3 cannot</w:t>
      </w:r>
      <w:r w:rsidR="00D3015A">
        <w:t>.</w:t>
      </w:r>
      <w:r w:rsidR="0063180C">
        <w:br/>
      </w:r>
      <w:r w:rsidR="006065DB">
        <w:t>Hence, f</w:t>
      </w:r>
      <w:r w:rsidR="0007668E">
        <w:t xml:space="preserve">or </w:t>
      </w:r>
      <w:r w:rsidR="006065DB">
        <w:t xml:space="preserve">practical non-collocated deployments, only type-2 UEs will be able to </w:t>
      </w:r>
      <w:r w:rsidR="00F32B58">
        <w:t xml:space="preserve">be served with usable demodulation performance. As such we propose to </w:t>
      </w:r>
      <w:r w:rsidR="0063180C">
        <w:t xml:space="preserve">define </w:t>
      </w:r>
      <w:r w:rsidR="0063180C" w:rsidRPr="0063180C">
        <w:t>UE demod requirements based on type-2 UE</w:t>
      </w:r>
      <w:r w:rsidR="0063180C">
        <w:t>.</w:t>
      </w:r>
    </w:p>
    <w:p w14:paraId="20FBAEBA" w14:textId="2C64FF21" w:rsidR="0063180C" w:rsidRDefault="00482B0F" w:rsidP="0063180C">
      <w:r>
        <w:lastRenderedPageBreak/>
        <w:t xml:space="preserve">Additionally, </w:t>
      </w:r>
      <w:r w:rsidR="0096574E">
        <w:t xml:space="preserve">type-4 UEs are very similar to type-2, just with </w:t>
      </w:r>
      <w:r w:rsidR="00630E41">
        <w:t xml:space="preserve">the full </w:t>
      </w:r>
      <w:r w:rsidR="00A709EE">
        <w:t>RX</w:t>
      </w:r>
      <w:r w:rsidR="00630E41">
        <w:t xml:space="preserve"> path (including e.g., LNA)</w:t>
      </w:r>
      <w:r w:rsidR="00951EE4">
        <w:t>. Due to the similar architecture that RTD, etc.</w:t>
      </w:r>
      <w:r w:rsidR="00180254">
        <w:t>, configurations from type-2 can be re-used in type-4. And even the power imbalance agreements can be re-used</w:t>
      </w:r>
      <w:r w:rsidR="0000443A">
        <w:t>, as the imbalance stems more from geometry and less from LNA/AGC considerations.</w:t>
      </w:r>
    </w:p>
    <w:p w14:paraId="2BB061CB" w14:textId="2D6B41C1" w:rsidR="00033ACE" w:rsidRPr="007F05FA" w:rsidRDefault="00033ACE" w:rsidP="00033ACE">
      <w:pPr>
        <w:pStyle w:val="RAN4proposal"/>
      </w:pPr>
      <w:bookmarkStart w:id="6" w:name="_Ref131471014"/>
      <w:r>
        <w:t>RAN4 to define UE demod requirements based on type-2</w:t>
      </w:r>
      <w:r w:rsidR="00951EE4">
        <w:t xml:space="preserve"> and type 4</w:t>
      </w:r>
      <w:r>
        <w:t xml:space="preserve"> UE.</w:t>
      </w:r>
      <w:bookmarkEnd w:id="6"/>
      <w:r>
        <w:t xml:space="preserve"> </w:t>
      </w:r>
    </w:p>
    <w:p w14:paraId="04B3C8E0" w14:textId="002DE690" w:rsidR="007F05FA" w:rsidRDefault="007F05FA" w:rsidP="00AC1A8D">
      <w:pPr>
        <w:rPr>
          <w:rStyle w:val="normaltextrun"/>
          <w:color w:val="000000"/>
          <w:szCs w:val="20"/>
          <w:shd w:val="clear" w:color="auto" w:fill="FFFFFF"/>
        </w:rPr>
      </w:pPr>
    </w:p>
    <w:p w14:paraId="0057A15E" w14:textId="469F2A7E" w:rsidR="007F05FA" w:rsidRPr="004B4BEC" w:rsidRDefault="004B4BEC" w:rsidP="00AC1A8D">
      <w:pPr>
        <w:rPr>
          <w:rStyle w:val="normaltextrun"/>
          <w:color w:val="000000"/>
          <w:szCs w:val="20"/>
          <w:u w:val="single"/>
          <w:shd w:val="clear" w:color="auto" w:fill="FFFFFF"/>
        </w:rPr>
      </w:pPr>
      <w:r w:rsidRPr="004B4BEC">
        <w:rPr>
          <w:rStyle w:val="normaltextrun"/>
          <w:color w:val="000000"/>
          <w:szCs w:val="20"/>
          <w:u w:val="single"/>
          <w:shd w:val="clear" w:color="auto" w:fill="FFFFFF"/>
        </w:rPr>
        <w:t>(M)</w:t>
      </w:r>
      <w:r w:rsidR="0063180C" w:rsidRPr="004B4BEC">
        <w:rPr>
          <w:rStyle w:val="normaltextrun"/>
          <w:color w:val="000000"/>
          <w:szCs w:val="20"/>
          <w:u w:val="single"/>
          <w:shd w:val="clear" w:color="auto" w:fill="FFFFFF"/>
        </w:rPr>
        <w:t>RTD</w:t>
      </w:r>
      <w:r w:rsidRPr="004B4BEC">
        <w:rPr>
          <w:rStyle w:val="normaltextrun"/>
          <w:color w:val="000000"/>
          <w:szCs w:val="20"/>
          <w:u w:val="single"/>
          <w:shd w:val="clear" w:color="auto" w:fill="FFFFFF"/>
        </w:rPr>
        <w:t xml:space="preserve"> </w:t>
      </w:r>
      <w:r w:rsidR="00815513">
        <w:rPr>
          <w:rStyle w:val="normaltextrun"/>
          <w:color w:val="000000"/>
          <w:szCs w:val="20"/>
          <w:u w:val="single"/>
          <w:shd w:val="clear" w:color="auto" w:fill="FFFFFF"/>
        </w:rPr>
        <w:t xml:space="preserve">and power imbalance values </w:t>
      </w:r>
      <w:r w:rsidRPr="004B4BEC">
        <w:rPr>
          <w:rStyle w:val="normaltextrun"/>
          <w:color w:val="000000"/>
          <w:szCs w:val="20"/>
          <w:u w:val="single"/>
          <w:shd w:val="clear" w:color="auto" w:fill="FFFFFF"/>
        </w:rPr>
        <w:t>for demodulation requirements</w:t>
      </w:r>
    </w:p>
    <w:p w14:paraId="748CF70B" w14:textId="224AD538" w:rsidR="00815513" w:rsidRDefault="005A03D6" w:rsidP="00AC1A8D">
      <w:r w:rsidRPr="005A03D6">
        <w:t>Maximum Receive Timing Difference (MRTD) refers to the maximum allowable difference in the timing of received signals between different antennas or carriers. MRTD is an important parameter in carrier aggregation (CA) setups where multiple carriers or antennas are used to transmit data</w:t>
      </w:r>
      <w:r w:rsidR="00815513">
        <w:t>, as baseband interference arises from RTD.</w:t>
      </w:r>
      <w:r w:rsidR="00ED6639">
        <w:t xml:space="preserve"> The absence of MRTD </w:t>
      </w:r>
      <w:r w:rsidR="00ED6639" w:rsidRPr="00ED6639">
        <w:t>can lead to wrong or unbalanced requirements.</w:t>
      </w:r>
      <w:r w:rsidR="00815513">
        <w:br/>
        <w:t xml:space="preserve">The RRM session has agreed </w:t>
      </w:r>
      <w:r w:rsidR="00C24605">
        <w:t>MRTD/MTTD values</w:t>
      </w:r>
      <w:r w:rsidR="00815513">
        <w:t xml:space="preserve"> for UE architecture </w:t>
      </w:r>
      <w:r w:rsidR="00EF7A71">
        <w:t>type-</w:t>
      </w:r>
      <w:r w:rsidR="006E2629">
        <w:t>2</w:t>
      </w:r>
      <w:r w:rsidR="00815513">
        <w:t>.</w:t>
      </w:r>
    </w:p>
    <w:tbl>
      <w:tblPr>
        <w:tblStyle w:val="TableGrid"/>
        <w:tblW w:w="0" w:type="auto"/>
        <w:tblLook w:val="04A0" w:firstRow="1" w:lastRow="0" w:firstColumn="1" w:lastColumn="0" w:noHBand="0" w:noVBand="1"/>
      </w:tblPr>
      <w:tblGrid>
        <w:gridCol w:w="9617"/>
      </w:tblGrid>
      <w:tr w:rsidR="00CF0BE6" w14:paraId="1CE502CE" w14:textId="77777777" w:rsidTr="00CF0BE6">
        <w:tc>
          <w:tcPr>
            <w:tcW w:w="9617" w:type="dxa"/>
          </w:tcPr>
          <w:p w14:paraId="35A0E67D" w14:textId="77777777" w:rsidR="00CF0BE6" w:rsidRDefault="00CF0BE6" w:rsidP="00CF0BE6">
            <w:pPr>
              <w:rPr>
                <w:rFonts w:ascii="DengXian" w:eastAsia="DengXian" w:hAnsi="DengXian"/>
                <w:b/>
                <w:bCs/>
                <w:color w:val="000000"/>
                <w:sz w:val="21"/>
                <w:szCs w:val="21"/>
                <w:u w:val="single"/>
                <w:lang w:eastAsia="ko-KR"/>
              </w:rPr>
            </w:pPr>
            <w:r>
              <w:rPr>
                <w:b/>
                <w:bCs/>
                <w:color w:val="000000"/>
                <w:u w:val="single"/>
                <w:lang w:eastAsia="ko-KR"/>
              </w:rPr>
              <w:t>Issue 1-2-1: MRTD/MTTD requirements for non-collocated FR1 intra-band non-contiguous NR-CA for Type 2 UE</w:t>
            </w:r>
          </w:p>
          <w:p w14:paraId="78B71CA7" w14:textId="77777777" w:rsidR="00CF0BE6" w:rsidRDefault="00CF0BE6" w:rsidP="00CF0BE6">
            <w:pPr>
              <w:pStyle w:val="ListParagraph"/>
              <w:numPr>
                <w:ilvl w:val="0"/>
                <w:numId w:val="30"/>
              </w:numPr>
              <w:ind w:left="720"/>
              <w:contextualSpacing w:val="0"/>
              <w:jc w:val="both"/>
              <w:rPr>
                <w:rFonts w:ascii="Calibri" w:hAnsi="Calibri"/>
                <w:color w:val="000000"/>
                <w:sz w:val="22"/>
                <w:highlight w:val="green"/>
                <w:lang w:eastAsia="zh-CN"/>
              </w:rPr>
            </w:pPr>
            <w:r>
              <w:rPr>
                <w:color w:val="000000"/>
                <w:highlight w:val="green"/>
              </w:rPr>
              <w:t>Agreements</w:t>
            </w:r>
          </w:p>
          <w:p w14:paraId="23D32B4E" w14:textId="77777777" w:rsidR="00CF0BE6" w:rsidRDefault="00CF0BE6" w:rsidP="00CF0BE6">
            <w:pPr>
              <w:pStyle w:val="ListParagraph"/>
              <w:numPr>
                <w:ilvl w:val="1"/>
                <w:numId w:val="30"/>
              </w:numPr>
              <w:ind w:left="1440"/>
              <w:jc w:val="both"/>
              <w:rPr>
                <w:rFonts w:eastAsia="Times New Roman"/>
                <w:color w:val="000000"/>
                <w:szCs w:val="20"/>
                <w:highlight w:val="green"/>
              </w:rPr>
            </w:pPr>
            <w:r>
              <w:rPr>
                <w:color w:val="000000"/>
                <w:highlight w:val="green"/>
              </w:rPr>
              <w:t>MRTD/MTTD requirements for non-collocated FR1 intra-band non-contiguous NR-CA for Type 2 UE</w:t>
            </w:r>
          </w:p>
          <w:p w14:paraId="773113E4" w14:textId="77777777" w:rsidR="00CF0BE6" w:rsidRDefault="00CF0BE6" w:rsidP="00CF0BE6">
            <w:pPr>
              <w:pStyle w:val="ListParagraph"/>
              <w:numPr>
                <w:ilvl w:val="2"/>
                <w:numId w:val="30"/>
              </w:numPr>
              <w:jc w:val="both"/>
              <w:rPr>
                <w:color w:val="000000"/>
                <w:highlight w:val="green"/>
              </w:rPr>
            </w:pPr>
            <w:r>
              <w:rPr>
                <w:color w:val="000000"/>
                <w:highlight w:val="green"/>
              </w:rPr>
              <w:t>MRTD=33us</w:t>
            </w:r>
          </w:p>
          <w:p w14:paraId="30D519C0" w14:textId="77777777" w:rsidR="00CF0BE6" w:rsidRDefault="00CF0BE6" w:rsidP="00CF0BE6">
            <w:pPr>
              <w:pStyle w:val="ListParagraph"/>
              <w:numPr>
                <w:ilvl w:val="2"/>
                <w:numId w:val="30"/>
              </w:numPr>
              <w:jc w:val="both"/>
              <w:rPr>
                <w:color w:val="000000"/>
                <w:highlight w:val="green"/>
              </w:rPr>
            </w:pPr>
            <w:r>
              <w:rPr>
                <w:color w:val="000000"/>
                <w:highlight w:val="green"/>
              </w:rPr>
              <w:t>MTTD=34.6us</w:t>
            </w:r>
          </w:p>
          <w:p w14:paraId="7A49A167" w14:textId="77777777" w:rsidR="00CF0BE6" w:rsidRDefault="00CF0BE6" w:rsidP="00CF0BE6">
            <w:pPr>
              <w:spacing w:after="120"/>
            </w:pPr>
          </w:p>
          <w:p w14:paraId="75C1F7A2" w14:textId="77777777" w:rsidR="00CF0BE6" w:rsidRDefault="00CF0BE6" w:rsidP="00CF0BE6">
            <w:pPr>
              <w:rPr>
                <w:b/>
                <w:bCs/>
                <w:color w:val="000000"/>
                <w:sz w:val="21"/>
                <w:szCs w:val="21"/>
                <w:u w:val="single"/>
                <w:lang w:eastAsia="ko-KR"/>
              </w:rPr>
            </w:pPr>
            <w:r>
              <w:rPr>
                <w:b/>
                <w:bCs/>
                <w:color w:val="000000"/>
                <w:u w:val="single"/>
                <w:lang w:eastAsia="ko-KR"/>
              </w:rPr>
              <w:t>Issue 1-2-2: MRTD/MTTD requirements for non-collocated FR1 inter-band synchronous EN-DC with overlapping DL bands for Type 2 UE</w:t>
            </w:r>
          </w:p>
          <w:p w14:paraId="2D45EE93" w14:textId="77777777" w:rsidR="00CF0BE6" w:rsidRDefault="00CF0BE6" w:rsidP="00CF0BE6">
            <w:pPr>
              <w:pStyle w:val="ListParagraph"/>
              <w:numPr>
                <w:ilvl w:val="0"/>
                <w:numId w:val="30"/>
              </w:numPr>
              <w:ind w:left="720"/>
              <w:contextualSpacing w:val="0"/>
              <w:jc w:val="both"/>
              <w:rPr>
                <w:color w:val="000000"/>
                <w:sz w:val="22"/>
                <w:highlight w:val="green"/>
                <w:lang w:eastAsia="zh-CN"/>
              </w:rPr>
            </w:pPr>
            <w:r>
              <w:rPr>
                <w:color w:val="000000"/>
                <w:highlight w:val="green"/>
              </w:rPr>
              <w:t>Agreements</w:t>
            </w:r>
          </w:p>
          <w:p w14:paraId="6EDE4674" w14:textId="77777777" w:rsidR="00CF0BE6" w:rsidRDefault="00CF0BE6" w:rsidP="00CF0BE6">
            <w:pPr>
              <w:pStyle w:val="ListParagraph"/>
              <w:numPr>
                <w:ilvl w:val="1"/>
                <w:numId w:val="30"/>
              </w:numPr>
              <w:ind w:left="1440"/>
              <w:jc w:val="both"/>
              <w:rPr>
                <w:color w:val="000000"/>
                <w:szCs w:val="20"/>
                <w:highlight w:val="green"/>
              </w:rPr>
            </w:pPr>
            <w:r>
              <w:rPr>
                <w:color w:val="000000"/>
                <w:highlight w:val="green"/>
              </w:rPr>
              <w:t>MRTD/MTTD requirements for non-collocated FR1 inter-band synchronous EN-DC with overlapping DL bands for Type 2 UE</w:t>
            </w:r>
          </w:p>
          <w:p w14:paraId="6041D42A" w14:textId="77777777" w:rsidR="00CF0BE6" w:rsidRDefault="00CF0BE6" w:rsidP="00CF0BE6">
            <w:pPr>
              <w:pStyle w:val="ListParagraph"/>
              <w:numPr>
                <w:ilvl w:val="2"/>
                <w:numId w:val="30"/>
              </w:numPr>
              <w:jc w:val="both"/>
              <w:rPr>
                <w:color w:val="000000"/>
                <w:highlight w:val="green"/>
              </w:rPr>
            </w:pPr>
            <w:r>
              <w:rPr>
                <w:color w:val="000000"/>
                <w:highlight w:val="green"/>
              </w:rPr>
              <w:t>MRTD=33us</w:t>
            </w:r>
          </w:p>
          <w:p w14:paraId="58752B32" w14:textId="77777777" w:rsidR="00CF0BE6" w:rsidRDefault="00CF0BE6" w:rsidP="00CF0BE6">
            <w:pPr>
              <w:pStyle w:val="ListParagraph"/>
              <w:numPr>
                <w:ilvl w:val="2"/>
                <w:numId w:val="30"/>
              </w:numPr>
              <w:jc w:val="both"/>
              <w:rPr>
                <w:color w:val="000000"/>
                <w:highlight w:val="green"/>
              </w:rPr>
            </w:pPr>
            <w:r>
              <w:rPr>
                <w:color w:val="000000"/>
                <w:highlight w:val="green"/>
              </w:rPr>
              <w:t>MTTD=35.21us</w:t>
            </w:r>
          </w:p>
          <w:p w14:paraId="12FA06D6" w14:textId="77777777" w:rsidR="00CF0BE6" w:rsidRDefault="00CF0BE6" w:rsidP="00AC1A8D"/>
        </w:tc>
      </w:tr>
    </w:tbl>
    <w:p w14:paraId="2BE2930C" w14:textId="77777777" w:rsidR="00CF0BE6" w:rsidRDefault="00CF0BE6" w:rsidP="00AC1A8D"/>
    <w:p w14:paraId="29EC5CC6" w14:textId="66DA8EDE" w:rsidR="00B431B3" w:rsidRDefault="0002106C" w:rsidP="00AC1A8D">
      <w:pPr>
        <w:rPr>
          <w:rStyle w:val="normaltextrun"/>
          <w:color w:val="000000"/>
          <w:szCs w:val="20"/>
          <w:shd w:val="clear" w:color="auto" w:fill="FFFFFF"/>
        </w:rPr>
      </w:pPr>
      <w:r>
        <w:rPr>
          <w:rStyle w:val="normaltextrun"/>
          <w:color w:val="000000"/>
          <w:szCs w:val="20"/>
          <w:shd w:val="clear" w:color="auto" w:fill="FFFFFF"/>
        </w:rPr>
        <w:t>Pow</w:t>
      </w:r>
      <w:r w:rsidR="00B431B3" w:rsidRPr="00B431B3">
        <w:rPr>
          <w:rStyle w:val="normaltextrun"/>
          <w:color w:val="000000"/>
          <w:szCs w:val="20"/>
          <w:shd w:val="clear" w:color="auto" w:fill="FFFFFF"/>
        </w:rPr>
        <w:t>er imbalance can have a significant impact on the performance of carrier aggregation (CA). When different carriers have different power levels due to power control mechanisms, the imbalance can cause interference</w:t>
      </w:r>
      <w:r w:rsidR="006768DE">
        <w:rPr>
          <w:rStyle w:val="normaltextrun"/>
          <w:color w:val="000000"/>
          <w:szCs w:val="20"/>
          <w:shd w:val="clear" w:color="auto" w:fill="FFFFFF"/>
        </w:rPr>
        <w:t xml:space="preserve">, </w:t>
      </w:r>
      <w:r w:rsidR="00286891">
        <w:rPr>
          <w:rStyle w:val="normaltextrun"/>
          <w:color w:val="000000"/>
          <w:szCs w:val="20"/>
          <w:shd w:val="clear" w:color="auto" w:fill="FFFFFF"/>
        </w:rPr>
        <w:t>nonlinear</w:t>
      </w:r>
      <w:r w:rsidR="006768DE">
        <w:rPr>
          <w:rStyle w:val="normaltextrun"/>
          <w:color w:val="000000"/>
          <w:szCs w:val="20"/>
          <w:shd w:val="clear" w:color="auto" w:fill="FFFFFF"/>
        </w:rPr>
        <w:t xml:space="preserve"> effects, and AGC related noise fl</w:t>
      </w:r>
      <w:r w:rsidR="00286891">
        <w:rPr>
          <w:rStyle w:val="normaltextrun"/>
          <w:color w:val="000000"/>
          <w:szCs w:val="20"/>
          <w:shd w:val="clear" w:color="auto" w:fill="FFFFFF"/>
        </w:rPr>
        <w:t xml:space="preserve">oor raises, </w:t>
      </w:r>
      <w:r w:rsidR="00B431B3" w:rsidRPr="00B431B3">
        <w:rPr>
          <w:rStyle w:val="normaltextrun"/>
          <w:color w:val="000000"/>
          <w:szCs w:val="20"/>
          <w:shd w:val="clear" w:color="auto" w:fill="FFFFFF"/>
        </w:rPr>
        <w:t xml:space="preserve">that degrades the performance of the receiver. This is especially critical in cases where intra-band </w:t>
      </w:r>
      <w:r w:rsidR="0081799D">
        <w:rPr>
          <w:rStyle w:val="normaltextrun"/>
          <w:color w:val="000000"/>
          <w:szCs w:val="20"/>
          <w:shd w:val="clear" w:color="auto" w:fill="FFFFFF"/>
        </w:rPr>
        <w:t>EN-DC</w:t>
      </w:r>
      <w:r w:rsidR="00B431B3" w:rsidRPr="00B431B3">
        <w:rPr>
          <w:rStyle w:val="normaltextrun"/>
          <w:color w:val="000000"/>
          <w:szCs w:val="20"/>
          <w:shd w:val="clear" w:color="auto" w:fill="FFFFFF"/>
        </w:rPr>
        <w:t xml:space="preserve"> and </w:t>
      </w:r>
      <w:r w:rsidR="00CF0BE6">
        <w:rPr>
          <w:rStyle w:val="normaltextrun"/>
          <w:color w:val="000000"/>
          <w:szCs w:val="20"/>
          <w:shd w:val="clear" w:color="auto" w:fill="FFFFFF"/>
        </w:rPr>
        <w:t>NR-</w:t>
      </w:r>
      <w:r w:rsidR="00B431B3" w:rsidRPr="00B431B3">
        <w:rPr>
          <w:rStyle w:val="normaltextrun"/>
          <w:color w:val="000000"/>
          <w:szCs w:val="20"/>
          <w:shd w:val="clear" w:color="auto" w:fill="FFFFFF"/>
        </w:rPr>
        <w:t>CA are used together, as the power imbalance can be more severe due to the use of different frequency bands.</w:t>
      </w:r>
      <w:r w:rsidR="00286891">
        <w:rPr>
          <w:rStyle w:val="normaltextrun"/>
          <w:color w:val="000000"/>
          <w:szCs w:val="20"/>
          <w:shd w:val="clear" w:color="auto" w:fill="FFFFFF"/>
        </w:rPr>
        <w:br/>
        <w:t xml:space="preserve">While the noise-offsets chosen in demod testing prevent </w:t>
      </w:r>
      <w:r w:rsidR="0081517F">
        <w:rPr>
          <w:rStyle w:val="normaltextrun"/>
          <w:color w:val="000000"/>
          <w:szCs w:val="20"/>
          <w:shd w:val="clear" w:color="auto" w:fill="FFFFFF"/>
        </w:rPr>
        <w:t xml:space="preserve">impact from AGC effects, </w:t>
      </w:r>
      <w:r w:rsidR="008149A8">
        <w:rPr>
          <w:rStyle w:val="normaltextrun"/>
          <w:color w:val="000000"/>
          <w:szCs w:val="20"/>
          <w:shd w:val="clear" w:color="auto" w:fill="FFFFFF"/>
        </w:rPr>
        <w:t xml:space="preserve">the non-linear effects can lead to BB impact. In previous releases </w:t>
      </w:r>
      <w:r w:rsidR="00A9325A">
        <w:rPr>
          <w:rStyle w:val="normaltextrun"/>
          <w:color w:val="000000"/>
          <w:szCs w:val="20"/>
          <w:shd w:val="clear" w:color="auto" w:fill="FFFFFF"/>
        </w:rPr>
        <w:t>“</w:t>
      </w:r>
      <w:r w:rsidR="00A9325A" w:rsidRPr="00A9325A">
        <w:rPr>
          <w:rStyle w:val="normaltextrun"/>
          <w:color w:val="000000"/>
          <w:szCs w:val="20"/>
          <w:shd w:val="clear" w:color="auto" w:fill="FFFFFF"/>
        </w:rPr>
        <w:t>Minimum requirements for carrier aggregation with power imbalance</w:t>
      </w:r>
      <w:r w:rsidR="00A9325A">
        <w:rPr>
          <w:rStyle w:val="normaltextrun"/>
          <w:color w:val="000000"/>
          <w:szCs w:val="20"/>
          <w:shd w:val="clear" w:color="auto" w:fill="FFFFFF"/>
        </w:rPr>
        <w:t xml:space="preserve">” were introduced with an imbalance of 6dB between </w:t>
      </w:r>
      <w:proofErr w:type="spellStart"/>
      <w:r w:rsidR="00A9325A">
        <w:rPr>
          <w:rStyle w:val="normaltextrun"/>
          <w:color w:val="000000"/>
          <w:szCs w:val="20"/>
          <w:shd w:val="clear" w:color="auto" w:fill="FFFFFF"/>
        </w:rPr>
        <w:t>PCell</w:t>
      </w:r>
      <w:proofErr w:type="spellEnd"/>
      <w:r w:rsidR="00A9325A">
        <w:rPr>
          <w:rStyle w:val="normaltextrun"/>
          <w:color w:val="000000"/>
          <w:szCs w:val="20"/>
          <w:shd w:val="clear" w:color="auto" w:fill="FFFFFF"/>
        </w:rPr>
        <w:t xml:space="preserve"> and </w:t>
      </w:r>
      <w:proofErr w:type="spellStart"/>
      <w:r w:rsidR="00A9325A">
        <w:rPr>
          <w:rStyle w:val="normaltextrun"/>
          <w:color w:val="000000"/>
          <w:szCs w:val="20"/>
          <w:shd w:val="clear" w:color="auto" w:fill="FFFFFF"/>
        </w:rPr>
        <w:t>SCell</w:t>
      </w:r>
      <w:proofErr w:type="spellEnd"/>
      <w:r w:rsidR="00A9325A">
        <w:rPr>
          <w:rStyle w:val="normaltextrun"/>
          <w:color w:val="000000"/>
          <w:szCs w:val="20"/>
          <w:shd w:val="clear" w:color="auto" w:fill="FFFFFF"/>
        </w:rPr>
        <w:t>. If power imbalance for non-collocated is agreed to differ from this baseline in the RRM session, then new demodulation requirements will be necessary.</w:t>
      </w:r>
      <w:r w:rsidR="00E60A56">
        <w:rPr>
          <w:rStyle w:val="normaltextrun"/>
          <w:color w:val="000000"/>
          <w:szCs w:val="20"/>
          <w:shd w:val="clear" w:color="auto" w:fill="FFFFFF"/>
        </w:rPr>
        <w:br/>
      </w:r>
    </w:p>
    <w:p w14:paraId="49698535" w14:textId="56AE98E9" w:rsidR="00ED6639" w:rsidRDefault="00ED6639" w:rsidP="00AC1A8D">
      <w:pPr>
        <w:rPr>
          <w:rStyle w:val="normaltextrun"/>
          <w:color w:val="000000"/>
          <w:szCs w:val="20"/>
          <w:shd w:val="clear" w:color="auto" w:fill="FFFFFF"/>
        </w:rPr>
      </w:pPr>
      <w:r>
        <w:rPr>
          <w:rStyle w:val="normaltextrun"/>
          <w:color w:val="000000"/>
          <w:szCs w:val="20"/>
          <w:shd w:val="clear" w:color="auto" w:fill="FFFFFF"/>
        </w:rPr>
        <w:t>Hence, we make the following</w:t>
      </w:r>
      <w:r w:rsidR="006768DE">
        <w:rPr>
          <w:rStyle w:val="normaltextrun"/>
          <w:color w:val="000000"/>
          <w:szCs w:val="20"/>
          <w:shd w:val="clear" w:color="auto" w:fill="FFFFFF"/>
        </w:rPr>
        <w:t xml:space="preserve"> proposal</w:t>
      </w:r>
      <w:r>
        <w:rPr>
          <w:rStyle w:val="normaltextrun"/>
          <w:color w:val="000000"/>
          <w:szCs w:val="20"/>
          <w:shd w:val="clear" w:color="auto" w:fill="FFFFFF"/>
        </w:rPr>
        <w:t xml:space="preserve">: </w:t>
      </w:r>
    </w:p>
    <w:p w14:paraId="3984C1D5" w14:textId="2A40520B" w:rsidR="00ED6639" w:rsidRPr="00ED6639" w:rsidRDefault="00ED6639" w:rsidP="00ED6639">
      <w:pPr>
        <w:pStyle w:val="RAN4proposal"/>
      </w:pPr>
      <w:bookmarkStart w:id="7" w:name="_Ref131471024"/>
      <w:r>
        <w:t>RAN4 to d</w:t>
      </w:r>
      <w:r w:rsidRPr="00ED6639">
        <w:t>efine PDSCH demodulation performance requirement based on the applicable MRTD and power imbalance values</w:t>
      </w:r>
      <w:r w:rsidR="006768DE">
        <w:t xml:space="preserve"> from RRM</w:t>
      </w:r>
      <w:r w:rsidR="00EF1B82">
        <w:t xml:space="preserve"> (agreed for UE type-2)</w:t>
      </w:r>
      <w:r w:rsidR="0056143C">
        <w:t xml:space="preserve">, i.e., </w:t>
      </w:r>
      <w:r w:rsidR="006E2629">
        <w:t>33 us</w:t>
      </w:r>
      <w:r w:rsidR="0056143C">
        <w:t xml:space="preserve"> and </w:t>
      </w:r>
      <w:r w:rsidR="006E2629">
        <w:t>2</w:t>
      </w:r>
      <w:r w:rsidR="0044658E">
        <w:t>5 dB</w:t>
      </w:r>
      <w:r w:rsidR="000320C3">
        <w:t xml:space="preserve">, with </w:t>
      </w:r>
      <w:r w:rsidR="007140C1">
        <w:t>possible compensation mechanisms to be discussed</w:t>
      </w:r>
      <w:r w:rsidRPr="00ED6639">
        <w:t>.</w:t>
      </w:r>
      <w:bookmarkEnd w:id="7"/>
    </w:p>
    <w:p w14:paraId="1C2E5BCE" w14:textId="77777777" w:rsidR="00ED6639" w:rsidRDefault="00ED6639" w:rsidP="00AC1A8D">
      <w:pPr>
        <w:rPr>
          <w:rStyle w:val="normaltextrun"/>
          <w:color w:val="000000"/>
          <w:szCs w:val="20"/>
          <w:shd w:val="clear" w:color="auto" w:fill="FFFFFF"/>
        </w:rPr>
      </w:pPr>
    </w:p>
    <w:p w14:paraId="597EFE5B" w14:textId="77777777" w:rsidR="0060543D" w:rsidRDefault="0060543D" w:rsidP="0060543D"/>
    <w:p w14:paraId="77F0D46E" w14:textId="77777777" w:rsidR="0060543D" w:rsidRPr="0060543D" w:rsidRDefault="0060543D" w:rsidP="0060543D"/>
    <w:p w14:paraId="6D1264F6" w14:textId="77777777" w:rsidR="00CD7492" w:rsidRPr="00D40277" w:rsidRDefault="00CD7492" w:rsidP="00A37002">
      <w:pPr>
        <w:pStyle w:val="RAN4H1"/>
        <w:rPr>
          <w:lang w:val="en-US"/>
        </w:rPr>
      </w:pPr>
      <w:bookmarkStart w:id="8" w:name="_Toc116995848"/>
      <w:r w:rsidRPr="00D40277">
        <w:rPr>
          <w:lang w:val="en-US"/>
        </w:rPr>
        <w:t>Conclusion</w:t>
      </w:r>
      <w:bookmarkEnd w:id="8"/>
    </w:p>
    <w:p w14:paraId="3578099E" w14:textId="6BF01A41" w:rsidR="007C5971" w:rsidRDefault="00D40277" w:rsidP="005C23A4">
      <w:r w:rsidRPr="00D40277">
        <w:t xml:space="preserve">This contribution discusses the demod requirements for non-collocated FR1 intra-band EN-DC/NR-CA. The observations and proposals are summarized as below:  </w:t>
      </w:r>
    </w:p>
    <w:p w14:paraId="752C3249" w14:textId="774EF5ED" w:rsidR="00D40277" w:rsidRDefault="00EF286C" w:rsidP="005C23A4">
      <w:r>
        <w:lastRenderedPageBreak/>
        <w:fldChar w:fldCharType="begin"/>
      </w:r>
      <w:r>
        <w:instrText xml:space="preserve"> REF _Ref131471005 \r \h </w:instrText>
      </w:r>
      <w:r>
        <w:fldChar w:fldCharType="separate"/>
      </w:r>
      <w:r w:rsidR="00374ABF">
        <w:t>Proposal 1:</w:t>
      </w:r>
      <w:r>
        <w:fldChar w:fldCharType="end"/>
      </w:r>
      <w:r>
        <w:fldChar w:fldCharType="begin"/>
      </w:r>
      <w:r>
        <w:instrText xml:space="preserve"> REF _Ref131471005 \h </w:instrText>
      </w:r>
      <w:r>
        <w:fldChar w:fldCharType="separate"/>
      </w:r>
      <w:r w:rsidR="00374ABF" w:rsidRPr="007F05FA">
        <w:t xml:space="preserve">RAN4 to define </w:t>
      </w:r>
      <w:r w:rsidR="00374ABF">
        <w:t xml:space="preserve">UE </w:t>
      </w:r>
      <w:proofErr w:type="spellStart"/>
      <w:r w:rsidR="00374ABF">
        <w:t>demod</w:t>
      </w:r>
      <w:proofErr w:type="spellEnd"/>
      <w:r w:rsidR="00374ABF">
        <w:t xml:space="preserve"> </w:t>
      </w:r>
      <w:r w:rsidR="00374ABF" w:rsidRPr="007F05FA">
        <w:t xml:space="preserve">requirements </w:t>
      </w:r>
      <w:r w:rsidR="00374ABF">
        <w:t xml:space="preserve">for non-collocated </w:t>
      </w:r>
      <w:r w:rsidR="00374ABF" w:rsidRPr="00576002">
        <w:t>intra-band EN-DC and NR-CA</w:t>
      </w:r>
      <w:r>
        <w:fldChar w:fldCharType="end"/>
      </w:r>
    </w:p>
    <w:p w14:paraId="4D2FFF4B" w14:textId="790EB9FD" w:rsidR="00EF286C" w:rsidRDefault="00EF286C" w:rsidP="005C23A4">
      <w:r>
        <w:fldChar w:fldCharType="begin"/>
      </w:r>
      <w:r>
        <w:instrText xml:space="preserve"> REF _Ref131471014 \n \h </w:instrText>
      </w:r>
      <w:r>
        <w:fldChar w:fldCharType="separate"/>
      </w:r>
      <w:r w:rsidR="00374ABF">
        <w:t>Proposal 2:</w:t>
      </w:r>
      <w:r>
        <w:fldChar w:fldCharType="end"/>
      </w:r>
      <w:r>
        <w:fldChar w:fldCharType="begin"/>
      </w:r>
      <w:r>
        <w:instrText xml:space="preserve"> REF _Ref131471014 \h </w:instrText>
      </w:r>
      <w:r>
        <w:fldChar w:fldCharType="separate"/>
      </w:r>
      <w:r w:rsidR="00374ABF">
        <w:t xml:space="preserve">RAN4 to define UE </w:t>
      </w:r>
      <w:proofErr w:type="spellStart"/>
      <w:r w:rsidR="00374ABF">
        <w:t>demod</w:t>
      </w:r>
      <w:proofErr w:type="spellEnd"/>
      <w:r w:rsidR="00374ABF">
        <w:t xml:space="preserve"> requirements based on type-2 and type 4 UE.</w:t>
      </w:r>
      <w:r>
        <w:fldChar w:fldCharType="end"/>
      </w:r>
    </w:p>
    <w:p w14:paraId="61C877AA" w14:textId="77046359" w:rsidR="00EF286C" w:rsidRDefault="00EF286C" w:rsidP="005C23A4">
      <w:r>
        <w:fldChar w:fldCharType="begin"/>
      </w:r>
      <w:r>
        <w:instrText xml:space="preserve"> REF _Ref131471024 \r \h </w:instrText>
      </w:r>
      <w:r>
        <w:fldChar w:fldCharType="separate"/>
      </w:r>
      <w:r w:rsidR="00374ABF">
        <w:t>Proposal 3:</w:t>
      </w:r>
      <w:r>
        <w:fldChar w:fldCharType="end"/>
      </w:r>
      <w:r>
        <w:fldChar w:fldCharType="begin"/>
      </w:r>
      <w:r>
        <w:instrText xml:space="preserve"> REF _Ref131471024 \h </w:instrText>
      </w:r>
      <w:r>
        <w:fldChar w:fldCharType="separate"/>
      </w:r>
      <w:r w:rsidR="00374ABF">
        <w:t>RAN4 to d</w:t>
      </w:r>
      <w:r w:rsidR="00374ABF" w:rsidRPr="00ED6639">
        <w:t>efine PDSCH demodulation performance requirement based on the applicable MRTD and power imbalance values</w:t>
      </w:r>
      <w:r w:rsidR="00374ABF">
        <w:t xml:space="preserve"> from RRM (agreed for UE type-2), i.e., 33 us and 25 dB, with possible compensation mechanisms to be discussed</w:t>
      </w:r>
      <w:r w:rsidR="00374ABF" w:rsidRPr="00ED6639">
        <w:t>.</w:t>
      </w:r>
      <w:r>
        <w:fldChar w:fldCharType="end"/>
      </w:r>
    </w:p>
    <w:p w14:paraId="5EB7C88A" w14:textId="77777777" w:rsidR="00B11887" w:rsidRPr="00D40277" w:rsidRDefault="00B11887" w:rsidP="005C23A4"/>
    <w:p w14:paraId="6BA85FF8" w14:textId="6AEACBDC" w:rsidR="003B659E" w:rsidRPr="00D40277" w:rsidRDefault="00D40277" w:rsidP="00D40277">
      <w:pPr>
        <w:pStyle w:val="RAN4H1"/>
      </w:pPr>
      <w:r w:rsidRPr="00D40277">
        <w:t xml:space="preserve">References </w:t>
      </w:r>
    </w:p>
    <w:bookmarkStart w:id="9" w:name="_Ref114500673"/>
    <w:bookmarkStart w:id="10" w:name="_Ref130994624"/>
    <w:bookmarkEnd w:id="9"/>
    <w:p w14:paraId="5A764072" w14:textId="4A352127" w:rsidR="00832E00" w:rsidRPr="00B665ED" w:rsidRDefault="00A02AAA" w:rsidP="00C85B86">
      <w:pPr>
        <w:pStyle w:val="ListParagraph"/>
        <w:numPr>
          <w:ilvl w:val="0"/>
          <w:numId w:val="21"/>
        </w:numPr>
        <w:ind w:right="-22"/>
      </w:pPr>
      <w:r w:rsidRPr="00D40277">
        <w:fldChar w:fldCharType="begin"/>
      </w:r>
      <w:r w:rsidRPr="00D40277">
        <w:instrText xml:space="preserve"> HYPERLINK "https://www.3gpp.org/ftp/tsg_ran/TSG_RAN/TSGR_96/Docs/RP-221496.zip" </w:instrText>
      </w:r>
      <w:r w:rsidRPr="00D40277">
        <w:fldChar w:fldCharType="separate"/>
      </w:r>
      <w:r w:rsidRPr="00D40277">
        <w:rPr>
          <w:rStyle w:val="Hyperlink"/>
          <w:lang w:val="en-GB"/>
        </w:rPr>
        <w:t>RP-221496</w:t>
      </w:r>
      <w:r w:rsidRPr="00D40277">
        <w:rPr>
          <w:rStyle w:val="Hyperlink"/>
          <w:lang w:val="en-GB"/>
        </w:rPr>
        <w:fldChar w:fldCharType="end"/>
      </w:r>
      <w:r w:rsidRPr="00D40277">
        <w:rPr>
          <w:lang w:val="en-GB"/>
        </w:rPr>
        <w:t xml:space="preserve"> “Revised WID Further RF requirements enhancement for NR and EN-DC in frequency range 1 (FR1)”</w:t>
      </w:r>
      <w:bookmarkEnd w:id="10"/>
    </w:p>
    <w:p w14:paraId="6B79161D" w14:textId="76A847BF" w:rsidR="00B665ED" w:rsidRDefault="00B665ED" w:rsidP="00C85B86">
      <w:pPr>
        <w:pStyle w:val="ListParagraph"/>
        <w:numPr>
          <w:ilvl w:val="0"/>
          <w:numId w:val="21"/>
        </w:numPr>
        <w:ind w:right="-22"/>
      </w:pPr>
      <w:bookmarkStart w:id="11" w:name="_Ref131711891"/>
      <w:r w:rsidRPr="00B665ED">
        <w:t>R4-2217734</w:t>
      </w:r>
      <w:r>
        <w:t xml:space="preserve"> “</w:t>
      </w:r>
      <w:r w:rsidRPr="00B665ED">
        <w:t xml:space="preserve">WF on </w:t>
      </w:r>
      <w:proofErr w:type="spellStart"/>
      <w:r w:rsidRPr="00B665ED">
        <w:t>NonCol_intraB_ENDC_NR_CA</w:t>
      </w:r>
      <w:proofErr w:type="spellEnd"/>
      <w:r w:rsidRPr="00B665ED">
        <w:t xml:space="preserve"> for New Type UE</w:t>
      </w:r>
      <w:r>
        <w:t>”</w:t>
      </w:r>
      <w:bookmarkEnd w:id="11"/>
    </w:p>
    <w:p w14:paraId="30D55B01" w14:textId="1A304758" w:rsidR="00E34B95" w:rsidRPr="00D40277" w:rsidRDefault="00E34B95" w:rsidP="00C85B86">
      <w:pPr>
        <w:pStyle w:val="ListParagraph"/>
        <w:numPr>
          <w:ilvl w:val="0"/>
          <w:numId w:val="21"/>
        </w:numPr>
        <w:ind w:right="-22"/>
      </w:pPr>
      <w:bookmarkStart w:id="12" w:name="_Ref131711978"/>
      <w:r w:rsidRPr="00E34B95">
        <w:t>R4-2215736</w:t>
      </w:r>
      <w:r>
        <w:t xml:space="preserve"> “</w:t>
      </w:r>
      <w:r w:rsidRPr="00E34B95">
        <w:t>Views on UE RF aspect for non-collocated EN-DC, NR-CA deployment</w:t>
      </w:r>
      <w:r>
        <w:t>”</w:t>
      </w:r>
      <w:bookmarkEnd w:id="12"/>
    </w:p>
    <w:sectPr w:rsidR="00E34B95" w:rsidRPr="00D4027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D06D7" w14:textId="77777777" w:rsidR="00442672" w:rsidRDefault="00442672" w:rsidP="00001C9B">
      <w:pPr>
        <w:spacing w:after="0" w:line="240" w:lineRule="auto"/>
      </w:pPr>
      <w:r>
        <w:separator/>
      </w:r>
    </w:p>
  </w:endnote>
  <w:endnote w:type="continuationSeparator" w:id="0">
    <w:p w14:paraId="1563614F" w14:textId="77777777" w:rsidR="00442672" w:rsidRDefault="0044267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2FE9D" w14:textId="77777777" w:rsidR="00442672" w:rsidRDefault="00442672" w:rsidP="00001C9B">
      <w:pPr>
        <w:spacing w:after="0" w:line="240" w:lineRule="auto"/>
      </w:pPr>
      <w:r>
        <w:separator/>
      </w:r>
    </w:p>
  </w:footnote>
  <w:footnote w:type="continuationSeparator" w:id="0">
    <w:p w14:paraId="5FB9EA01" w14:textId="77777777" w:rsidR="00442672" w:rsidRDefault="0044267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6"/>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635332301">
    <w:abstractNumId w:val="17"/>
  </w:num>
  <w:num w:numId="28" w16cid:durableId="1022165106">
    <w:abstractNumId w:val="6"/>
  </w:num>
  <w:num w:numId="29" w16cid:durableId="1875577689">
    <w:abstractNumId w:val="15"/>
  </w:num>
  <w:num w:numId="30" w16cid:durableId="18879134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1C9B"/>
    <w:rsid w:val="000040DC"/>
    <w:rsid w:val="0000443A"/>
    <w:rsid w:val="000151EF"/>
    <w:rsid w:val="0002106C"/>
    <w:rsid w:val="000239F5"/>
    <w:rsid w:val="000320C3"/>
    <w:rsid w:val="00033ACE"/>
    <w:rsid w:val="00046C41"/>
    <w:rsid w:val="00047D97"/>
    <w:rsid w:val="00047F2A"/>
    <w:rsid w:val="00053BB3"/>
    <w:rsid w:val="0007668E"/>
    <w:rsid w:val="00076B3A"/>
    <w:rsid w:val="00081F8D"/>
    <w:rsid w:val="0008612A"/>
    <w:rsid w:val="00090E18"/>
    <w:rsid w:val="000A10BC"/>
    <w:rsid w:val="000B0056"/>
    <w:rsid w:val="000C3C7B"/>
    <w:rsid w:val="000C4E0B"/>
    <w:rsid w:val="000D0F93"/>
    <w:rsid w:val="000F56B9"/>
    <w:rsid w:val="001024A3"/>
    <w:rsid w:val="00106416"/>
    <w:rsid w:val="001076A0"/>
    <w:rsid w:val="00110481"/>
    <w:rsid w:val="001127C9"/>
    <w:rsid w:val="00115B88"/>
    <w:rsid w:val="00132F6A"/>
    <w:rsid w:val="00133913"/>
    <w:rsid w:val="00137298"/>
    <w:rsid w:val="00140221"/>
    <w:rsid w:val="00160CB9"/>
    <w:rsid w:val="001642FC"/>
    <w:rsid w:val="0016496B"/>
    <w:rsid w:val="001743E2"/>
    <w:rsid w:val="001745F8"/>
    <w:rsid w:val="00180254"/>
    <w:rsid w:val="001838CF"/>
    <w:rsid w:val="001868EE"/>
    <w:rsid w:val="001A3BA4"/>
    <w:rsid w:val="001A4595"/>
    <w:rsid w:val="001A6D1F"/>
    <w:rsid w:val="001D1502"/>
    <w:rsid w:val="001E30F6"/>
    <w:rsid w:val="001E7D60"/>
    <w:rsid w:val="001F52D5"/>
    <w:rsid w:val="00210BE1"/>
    <w:rsid w:val="00217EE5"/>
    <w:rsid w:val="00235F5C"/>
    <w:rsid w:val="00257FA3"/>
    <w:rsid w:val="00264575"/>
    <w:rsid w:val="00277B56"/>
    <w:rsid w:val="00286891"/>
    <w:rsid w:val="002A19F5"/>
    <w:rsid w:val="002A304A"/>
    <w:rsid w:val="002B4922"/>
    <w:rsid w:val="002C22C3"/>
    <w:rsid w:val="002C2D19"/>
    <w:rsid w:val="002C2FFF"/>
    <w:rsid w:val="002D10FA"/>
    <w:rsid w:val="002D4C55"/>
    <w:rsid w:val="002E6DED"/>
    <w:rsid w:val="00300956"/>
    <w:rsid w:val="00314B1B"/>
    <w:rsid w:val="00317187"/>
    <w:rsid w:val="0032499A"/>
    <w:rsid w:val="003341F7"/>
    <w:rsid w:val="00347FEC"/>
    <w:rsid w:val="00356F45"/>
    <w:rsid w:val="00366B74"/>
    <w:rsid w:val="00374ABF"/>
    <w:rsid w:val="00383DAE"/>
    <w:rsid w:val="00387FDA"/>
    <w:rsid w:val="003A710A"/>
    <w:rsid w:val="003B659E"/>
    <w:rsid w:val="003C275E"/>
    <w:rsid w:val="003C4FDE"/>
    <w:rsid w:val="003E58DF"/>
    <w:rsid w:val="00404C4C"/>
    <w:rsid w:val="004114AB"/>
    <w:rsid w:val="0041423F"/>
    <w:rsid w:val="00414A40"/>
    <w:rsid w:val="00414F81"/>
    <w:rsid w:val="00417CB1"/>
    <w:rsid w:val="00434E42"/>
    <w:rsid w:val="00436A0F"/>
    <w:rsid w:val="00437150"/>
    <w:rsid w:val="0043750A"/>
    <w:rsid w:val="00442672"/>
    <w:rsid w:val="0044658E"/>
    <w:rsid w:val="004732E9"/>
    <w:rsid w:val="00482B0F"/>
    <w:rsid w:val="004854BB"/>
    <w:rsid w:val="00496606"/>
    <w:rsid w:val="004B3F39"/>
    <w:rsid w:val="004B4BEC"/>
    <w:rsid w:val="004E5E66"/>
    <w:rsid w:val="004E7ADB"/>
    <w:rsid w:val="004F51E4"/>
    <w:rsid w:val="00503B4D"/>
    <w:rsid w:val="00504EE9"/>
    <w:rsid w:val="00521576"/>
    <w:rsid w:val="005250E6"/>
    <w:rsid w:val="00542D23"/>
    <w:rsid w:val="0054442C"/>
    <w:rsid w:val="00545183"/>
    <w:rsid w:val="00550285"/>
    <w:rsid w:val="0056143C"/>
    <w:rsid w:val="00562492"/>
    <w:rsid w:val="00572A20"/>
    <w:rsid w:val="00576002"/>
    <w:rsid w:val="00577453"/>
    <w:rsid w:val="005836F8"/>
    <w:rsid w:val="005918FA"/>
    <w:rsid w:val="005926E1"/>
    <w:rsid w:val="00592A86"/>
    <w:rsid w:val="005A03D6"/>
    <w:rsid w:val="005B4801"/>
    <w:rsid w:val="005C0812"/>
    <w:rsid w:val="005C23A4"/>
    <w:rsid w:val="005D1CDF"/>
    <w:rsid w:val="005D2BB7"/>
    <w:rsid w:val="005E61A8"/>
    <w:rsid w:val="005F6419"/>
    <w:rsid w:val="0060543D"/>
    <w:rsid w:val="006065DB"/>
    <w:rsid w:val="006104DD"/>
    <w:rsid w:val="006130B5"/>
    <w:rsid w:val="00617400"/>
    <w:rsid w:val="00630E41"/>
    <w:rsid w:val="0063180C"/>
    <w:rsid w:val="00632D29"/>
    <w:rsid w:val="00664950"/>
    <w:rsid w:val="006768DE"/>
    <w:rsid w:val="00683220"/>
    <w:rsid w:val="00687FA0"/>
    <w:rsid w:val="006A0BEB"/>
    <w:rsid w:val="006A3C11"/>
    <w:rsid w:val="006B7010"/>
    <w:rsid w:val="006C3095"/>
    <w:rsid w:val="006D6B1D"/>
    <w:rsid w:val="006E1151"/>
    <w:rsid w:val="006E2629"/>
    <w:rsid w:val="006E6311"/>
    <w:rsid w:val="00711F40"/>
    <w:rsid w:val="007140C1"/>
    <w:rsid w:val="007145FF"/>
    <w:rsid w:val="00715B2A"/>
    <w:rsid w:val="007450F1"/>
    <w:rsid w:val="00751515"/>
    <w:rsid w:val="00754DF3"/>
    <w:rsid w:val="007626B7"/>
    <w:rsid w:val="0078212B"/>
    <w:rsid w:val="00784DF6"/>
    <w:rsid w:val="00785232"/>
    <w:rsid w:val="007B186C"/>
    <w:rsid w:val="007C1696"/>
    <w:rsid w:val="007C3ED0"/>
    <w:rsid w:val="007C4060"/>
    <w:rsid w:val="007C5971"/>
    <w:rsid w:val="007F05FA"/>
    <w:rsid w:val="007F54B9"/>
    <w:rsid w:val="00806A76"/>
    <w:rsid w:val="00811C9D"/>
    <w:rsid w:val="008149A8"/>
    <w:rsid w:val="0081517F"/>
    <w:rsid w:val="00815513"/>
    <w:rsid w:val="00816C80"/>
    <w:rsid w:val="0081799D"/>
    <w:rsid w:val="00832E00"/>
    <w:rsid w:val="00841BCD"/>
    <w:rsid w:val="00847EA3"/>
    <w:rsid w:val="00851A8E"/>
    <w:rsid w:val="0085365B"/>
    <w:rsid w:val="008826C1"/>
    <w:rsid w:val="00883DFD"/>
    <w:rsid w:val="0089709F"/>
    <w:rsid w:val="008A1BF7"/>
    <w:rsid w:val="008A5B0E"/>
    <w:rsid w:val="008B0961"/>
    <w:rsid w:val="008E009B"/>
    <w:rsid w:val="0090091A"/>
    <w:rsid w:val="009042BD"/>
    <w:rsid w:val="009247AE"/>
    <w:rsid w:val="009265E5"/>
    <w:rsid w:val="00936159"/>
    <w:rsid w:val="00951EE4"/>
    <w:rsid w:val="0096574E"/>
    <w:rsid w:val="00977E1D"/>
    <w:rsid w:val="009A5A62"/>
    <w:rsid w:val="009B0573"/>
    <w:rsid w:val="009B7B4B"/>
    <w:rsid w:val="009B7C21"/>
    <w:rsid w:val="009C7C1D"/>
    <w:rsid w:val="00A02AAA"/>
    <w:rsid w:val="00A04992"/>
    <w:rsid w:val="00A147AA"/>
    <w:rsid w:val="00A21D71"/>
    <w:rsid w:val="00A22B78"/>
    <w:rsid w:val="00A25AE5"/>
    <w:rsid w:val="00A37002"/>
    <w:rsid w:val="00A4355E"/>
    <w:rsid w:val="00A709EE"/>
    <w:rsid w:val="00A71A44"/>
    <w:rsid w:val="00A92BCD"/>
    <w:rsid w:val="00A9325A"/>
    <w:rsid w:val="00AA1B0E"/>
    <w:rsid w:val="00AA360D"/>
    <w:rsid w:val="00AA47B6"/>
    <w:rsid w:val="00AC163B"/>
    <w:rsid w:val="00AC1A8D"/>
    <w:rsid w:val="00AC4BA4"/>
    <w:rsid w:val="00AC5CA7"/>
    <w:rsid w:val="00AC6058"/>
    <w:rsid w:val="00AE2BA5"/>
    <w:rsid w:val="00AE56B1"/>
    <w:rsid w:val="00AE6D09"/>
    <w:rsid w:val="00AF7A7C"/>
    <w:rsid w:val="00B11887"/>
    <w:rsid w:val="00B408B6"/>
    <w:rsid w:val="00B431B3"/>
    <w:rsid w:val="00B542DA"/>
    <w:rsid w:val="00B665ED"/>
    <w:rsid w:val="00B73862"/>
    <w:rsid w:val="00B73F43"/>
    <w:rsid w:val="00BA6B66"/>
    <w:rsid w:val="00BA6E48"/>
    <w:rsid w:val="00BD71B0"/>
    <w:rsid w:val="00BE0AF6"/>
    <w:rsid w:val="00BE1F03"/>
    <w:rsid w:val="00BE58A7"/>
    <w:rsid w:val="00BF2218"/>
    <w:rsid w:val="00BF4AC7"/>
    <w:rsid w:val="00C0426B"/>
    <w:rsid w:val="00C045DF"/>
    <w:rsid w:val="00C12FB0"/>
    <w:rsid w:val="00C24605"/>
    <w:rsid w:val="00C26D43"/>
    <w:rsid w:val="00C37F53"/>
    <w:rsid w:val="00C46548"/>
    <w:rsid w:val="00C574D5"/>
    <w:rsid w:val="00C73F32"/>
    <w:rsid w:val="00C85B86"/>
    <w:rsid w:val="00C87462"/>
    <w:rsid w:val="00C925EB"/>
    <w:rsid w:val="00CA180C"/>
    <w:rsid w:val="00CA6496"/>
    <w:rsid w:val="00CA6572"/>
    <w:rsid w:val="00CB22B2"/>
    <w:rsid w:val="00CC3EE2"/>
    <w:rsid w:val="00CC73CE"/>
    <w:rsid w:val="00CC74FD"/>
    <w:rsid w:val="00CD7492"/>
    <w:rsid w:val="00CE3A6B"/>
    <w:rsid w:val="00CE5ECE"/>
    <w:rsid w:val="00CF0BE6"/>
    <w:rsid w:val="00CF1059"/>
    <w:rsid w:val="00D00211"/>
    <w:rsid w:val="00D06309"/>
    <w:rsid w:val="00D12B17"/>
    <w:rsid w:val="00D3015A"/>
    <w:rsid w:val="00D351EA"/>
    <w:rsid w:val="00D40277"/>
    <w:rsid w:val="00D40288"/>
    <w:rsid w:val="00D43403"/>
    <w:rsid w:val="00D4794A"/>
    <w:rsid w:val="00D5270B"/>
    <w:rsid w:val="00D62E71"/>
    <w:rsid w:val="00D6430D"/>
    <w:rsid w:val="00D645AE"/>
    <w:rsid w:val="00D66188"/>
    <w:rsid w:val="00D731F6"/>
    <w:rsid w:val="00D740CA"/>
    <w:rsid w:val="00D85728"/>
    <w:rsid w:val="00D95481"/>
    <w:rsid w:val="00DC7A13"/>
    <w:rsid w:val="00DD3F8A"/>
    <w:rsid w:val="00DF2997"/>
    <w:rsid w:val="00E0363C"/>
    <w:rsid w:val="00E10BC4"/>
    <w:rsid w:val="00E1415D"/>
    <w:rsid w:val="00E323E9"/>
    <w:rsid w:val="00E34018"/>
    <w:rsid w:val="00E34B95"/>
    <w:rsid w:val="00E37052"/>
    <w:rsid w:val="00E437D2"/>
    <w:rsid w:val="00E55751"/>
    <w:rsid w:val="00E60A56"/>
    <w:rsid w:val="00E8276C"/>
    <w:rsid w:val="00E96344"/>
    <w:rsid w:val="00EA2311"/>
    <w:rsid w:val="00EC7BC3"/>
    <w:rsid w:val="00ED6639"/>
    <w:rsid w:val="00ED7600"/>
    <w:rsid w:val="00EF1B82"/>
    <w:rsid w:val="00EF286C"/>
    <w:rsid w:val="00EF6073"/>
    <w:rsid w:val="00EF698B"/>
    <w:rsid w:val="00EF7A71"/>
    <w:rsid w:val="00F1362C"/>
    <w:rsid w:val="00F32B58"/>
    <w:rsid w:val="00F414F1"/>
    <w:rsid w:val="00F508B8"/>
    <w:rsid w:val="00F56B7E"/>
    <w:rsid w:val="00F72CB1"/>
    <w:rsid w:val="00F73375"/>
    <w:rsid w:val="00F8215E"/>
    <w:rsid w:val="00F824F5"/>
    <w:rsid w:val="00F8502E"/>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596CBA88-4EE6-472F-BD7A-B3A061927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50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909">
      <w:bodyDiv w:val="1"/>
      <w:marLeft w:val="0"/>
      <w:marRight w:val="0"/>
      <w:marTop w:val="0"/>
      <w:marBottom w:val="0"/>
      <w:divBdr>
        <w:top w:val="none" w:sz="0" w:space="0" w:color="auto"/>
        <w:left w:val="none" w:sz="0" w:space="0" w:color="auto"/>
        <w:bottom w:val="none" w:sz="0" w:space="0" w:color="auto"/>
        <w:right w:val="none" w:sz="0" w:space="0" w:color="auto"/>
      </w:divBdr>
    </w:div>
    <w:div w:id="564293899">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5AIRPNAIUNRU-1328258698-21283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https://nokia.sharepoint.com/sites/c5g/5gradio/_layouts/15/DocIdRedir.aspx?ID=5AIRPNAIUNRU-1328258698-21283</Url>
      <Description>5AIRPNAIUNRU-1328258698-21283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3GPP_Paper_Template_RAN4_#106bis-e_Dimitri.dotx</Template>
  <TotalTime>0</TotalTime>
  <Pages>1</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Khouloud Issiali (Nokia)</cp:lastModifiedBy>
  <cp:revision>2</cp:revision>
  <dcterms:created xsi:type="dcterms:W3CDTF">2023-04-09T22:14:00Z</dcterms:created>
  <dcterms:modified xsi:type="dcterms:W3CDTF">2023-04-09T22:14:00Z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b698d1ce-2607-4ede-9663-5d444c349178</vt:lpwstr>
  </property>
  <property fmtid="{D5CDD505-2E9C-101B-9397-08002B2CF9AE}" pid="11" name="MediaServiceImageTags">
    <vt:lpwstr/>
  </property>
</Properties>
</file>